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D-1241/2022 vom 25. März 2022</w:t>
      </w:r>
    </w:p>
    <w:p>
      <w:r>
        <w:t>Bundesverwaltungsgericht, 2022-03-25, DE</w:t>
      </w:r>
    </w:p>
    <w:p>
      <w:r>
        <w:rPr>
          <w:b/>
        </w:rPr>
        <w:t xml:space="preserve">Quelle: </w:t>
      </w:r>
      <w:r>
        <w:t>https://mcp.opencaselaw.ch/entscheid/bvger_D-1241_2022</w:t>
      </w:r>
    </w:p>
    <w:p>
      <w:r>
        <w:t>FR: TAF D-1241/2022 du 25 mars 2022</w:t>
      </w:r>
    </w:p>
    <w:p>
      <w:r>
        <w:t>IT: TAF D-1241/2022 del 25 marzo 2022</w:t>
      </w:r>
    </w:p>
    <w:p>
      <w:pPr>
        <w:pStyle w:val="Heading2"/>
      </w:pPr>
      <w:r>
        <w:t>Regeste</w:t>
      </w:r>
    </w:p>
    <w:p>
      <w:r>
        <w:t>Nichteintreten auf Asylgesuch und Wegweisung (Dublin-Verfahren)</w:t>
      </w:r>
    </w:p>
    <w:p>
      <w:pPr>
        <w:pStyle w:val="Heading2"/>
      </w:pPr>
      <w:r>
        <w:t>Erwägungen</w:t>
      </w:r>
    </w:p>
    <w:p>
      <w:r>
        <w:rPr>
          <w:b/>
        </w:rPr>
        <w:t>E. 18</w:t>
      </w:r>
    </w:p>
    <w:p>
      <w:r>
        <w:t>Februar 2021 E. 7.2.2; E-5910/2020 vom 10. Dezember 2020 E. 7.2 und F-5436/2020 vom 10. November 2020 E. 5.2), dass die Vorinstanz hier in Beachtung des Referenzurteils des Bundesver- waltungsgerichts E-3078/2019 vom 12. Juli 2019 eine Einzelfallprüfung vorgenommen hat und unter Verweis auf Abklärungen durch die Schweizer Botschaft in Kroatien zum Schluss gekommen ist, dass Personen, welche im Rahmen eines Dublin-Verfahrens nach Kroatien zurückgeführt werden, nicht von der problematischen Push-back-Praxis betroffen sind (vgl. dazu beispielsweise die Urteile des BVGer D-735/2022 vom 28. Februar 2022 E. 6.5.2), dass auch unter Berücksichtigung der von den Beschwerdeführenden ge- schilderten Erlebnisse nicht davon auszugehen ist, Kroatien verstosse sys- tematisch gegen seine vertraglichen Verpflichtungen, dass unter diesen Umständen die Anwendung von Art. 3 Abs. 2 Satz 2 Dublin-III-VO nicht gerechtfertigt ist, dass die Beschwerdeführenden mit ihren Vorbringen in Bezug auf ihre Be- handlung in Kroatien die Anwendung der Ermessensklausel von Art. 17 Abs. 1 Dublin-III-VO respektive der – das Selbsteintrittsrecht im Landes- recht konkretisierenden – Bestimmung von Art. 29a Abs. 3 der Asylverord- nung 1 vom 11. August 1999 (AsylV 1, SR 142.311) fordern, gemäss wel- cher das SEM das Asylgesuch "aus humanitären Gründen" auch dann be- handeln kann, wenn dafür gemäss Dublin-III-VO ein anderer Staat zustän- dig wäre,</w:t>
      </w:r>
    </w:p>
    <w:p>
      <w:r>
        <w:t>D-1241/2022 Seite 6 dass sich das Gericht in diesem Zusammenhang auf die Prüfung zu be- schränken hat, ob die Vorinstanz ihr Ermessen gesetzeskonform ausgeübt hat, dass die Beschwerdeführenden kein konkretes und ernsthaftes Risiko dar- getan haben, die kroatischen Behörden würden sich weigern sie wieder aufzunehmen und ihren Antrag auf internationalen Schutz unter Einhaltung der Regeln der Verfahrensrichtlinie zu prüfen, dass der diesbezügliche Hinweis in der Beschwerde auf die Push-Back- Praxis wie oben ausgeführt im Zusammenhang mit Dublin nicht zu über- zeugen vermag, dass den Akten auch keine Gründe für die Annahme zu entnehmen sind, Kroatien werde in ihrem Fall den Grundsatz des Non-Refoulement miss- achten und sie zur Ausreise in ein Land zwingen, in dem ihr Leib, ihr Leben oder ihre Freiheit aus einem Grund nach Art. 3 Abs. 1 AsylG gefährdet ist oder in dem sie Gefahr laufen würden, zur Ausreise in ein solches Land gezwungen zu werden, dass die Hinweise in der Beschwerde auf die Praxis Kroatiens zur Asylge- währung für afghanische Flüchtlinge daran nichts zu ändern vermag, dass die Beschwerdeführenden keine konkreten Hinweise für die Annahme dargetan haben, Kroatien würde ihnen dauerhaft die ihnen gemäss Auf- nahmerichtlinie zustehenden minimalen Lebensbedingungen vorenthalten, dass der Hinweis auf die Behandlung der Beschwerdeführenden an der Grenze, wie vom SEM erwähnt, nicht auf ihre Behandlung nach der Asyl- gesuchstellung übertragen werden kann, dass die nachträglich geschilderten Ereignisse (ungenügendes Frühstück) daran nichts zu ändern vermögen, dass sich die Beschwerdeführenden bei einer vorübergehenden Ein- schränkung wie vom SEM erwähnt nötigenfalls an die kroatischen Behör- den wenden und die ihnen zustehenden Aufnahmebedingungen auf dem Rechtsweg einfordern könnten (vgl. Art. 26 Aufnahmerichtlinie), dass der Einwand in der Beschwerde, wonach es ihnen nach der Behand- lung an der Grenze nicht zumutbar sei, sich an die kroatischen Behörden zu wenden, insgesamt nicht zu überzeugen vermag,</w:t>
      </w:r>
    </w:p>
    <w:p>
      <w:r>
        <w:t>D-1241/2022 Seite 7 dass die Vorbringen der Beschwerdeführenden zum fehlenden Schutz in Kroatien somit offensichtlich nicht geeignet sind, ein individuelles Überstel- lungsverbot zu begründen, dass dies auch für die von den Beschwerdeführenden geltend gemachten gesundheitlichen Probleme gilt, dass ein Verstoss gegen Art. 3 EMRK gemäss neuerer Praxis des EGMR vorliegen kann, wenn eine schwer kranke Person durch die Abschiebung – mangels angemessener medizinischer Behandlung im Zielstaat – mit ei- nem realen Risiko konfrontiert würde, einer ernsten, raschen und unwie- derbringlichen Verschlechterung ihres Gesundheitszustands ausgesetzt zu werden, die zu intensivem Leiden oder einer erheblichen Verkürzung der Lebenserwartung führen würde (vgl. Urteil des EGMR Paposhvili ge- gen Belgien 13. Dezember 2016, Grosse Kammer 41738/10, §§ 180–193 m.w.H.), dass dies im vorliegenden Fall für die Situation der Beschwerdeführerin nicht zutrifft, zumal die Beschwerdeführerin mehrmals medizinisch unter- sucht und am 23. Februar 2022 festgestellt wurde, dass ihre psychischen Beschwerden unter Fortsetzung der bereits in Griechenland begonnen me- dikamentösen Behandlung keiner dringenden spezialisierten Behandlung bedürfen (vgl. Akten des SEM 1121448-82/2), dass Kroatien entgegen den Ausführungen in der Beschwerde über eine ausreichende medizinische Infrastruktur verfügt, dass die Mitgliedstaaten den Antragstellenden die erforderliche medizini- sche Versorgung, die zumindest die Notversorgung und die unbedingt er- forderliche Behandlung von Krankheiten und schweren psychischen Stö- rungen umfasst, zugänglich machen müssen (Art. 19 Abs. 1 Aufnahme- richtlinie), und Antragstellenden mit besonderen Bedürfnissen die erfor- derliche medizinische oder sonstige Hilfe (einschliesslich erforderlichen- falls einer geeigneten psychologischen Betreuung) zu gewähren haben (Art. 19 Abs. 2 Aufnahmerichtlinie), dass die schweizerischen Behörden, die mit dem Vollzug der angefochten Verfügung beauftragt sind, den medizinischen Umständen bei der Bestim- mung der konkreten Modalitäten der Überstellung der Beschwerdeführen- den Rechnung tragen und die kroatischen Behörden vorgängig in geeigne- ter Weise über die spezifischen medizinischen Umstände informieren wer- den (vgl. Art. 31 f. Dublin-III-VO),</w:t>
      </w:r>
    </w:p>
    <w:p>
      <w:r>
        <w:t>D-1241/2022 Seite 8 dass schliesslich auch der allgemeine Hinweis in der Beschwerde auf die Situation der Kinder und die Kinderrechtskonvention mangels konkreter Hinweise am Gesagten nichts zu ändern vermag,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 sensklauseln von Art. 17 Dublin-III-VO gibt und an dieser Stelle festzuhal- ten bleibt, dass die Dublin-III-VO den Schutzsuchenden kein Recht ein- räumt, den ihren Antrag prüfenden Staat selber auszuwählen (vgl. auch BVGE 2010/45 E. 8.3), dass das SEM demnach zu Recht in Anwendung von Art. 31a Abs. 1 Bst. b AsylG auf das Asylgesuch der Beschwerdeführenden nicht eingetreten ist und – weil die Beschwerdeführenden nicht im Besitz einer gültigen Aufent- halts- oder Niederlassungsbewilligung sind – in Anwendung von Art. 44 AsylG die Überstellung nach Kroatien angeordnet hat (Art. 32 Bst. a AsylV 1), dass unter diesen Umständen allfällige Vollzugshindernisse gemäss Art. 83 Abs. 3 und 4 AIG (SR 142.20) nicht mehr zu prüfen sind, da das Fehlen von Überstellungshindernissen bereits Voraussetzung des Nicht- eintretensentscheides gemäss Art. 31a Abs. 1 Bst. b AsylG ist (vgl. BVGE 2015/18 E. 5.2 m.w.H.), dass die Beschwerde aus diesen Gründen abzuweisen ist und die Verfü- gung des SEM zu bestätigen ist, dass das Beschwerdeverfahren mit vorliegendem Urteil abgeschlossen ist, weshalb sich der Antrag auf Gewährung der aufschiebenden Wirkung als gegenstandslos erweist, dass das mit der Beschwerde gestellte Gesuch um Gewährung der unent- geltlichen Prozessführung abzuweisen ist, da die Begehren – wie sich aus</w:t>
      </w:r>
    </w:p>
    <w:p>
      <w:r>
        <w:t>D-1241/2022 Seite 9 den vorstehenden Erwägungen ergibt – als aussichtlos zu bezeichnen wa- ren, weshalb die Voraussetzungen von Art. 65 Abs. 1 VwVG nicht erfüllt sind, dass bei diesem Ausgang des Verfahrens die Kosten von Fr. 750.– (Art. 1‒ 3 des Reglements vom 21. Februar 2008 über die Kosten und Entschädi- gungen vor dem Bundesverwaltungsgericht [VGKE, SR 173.320.2]) den Beschwerdeführenden aufzuerlegen sind (Art. 63 Abs. 1 VwVG).</w:t>
      </w:r>
    </w:p>
    <w:p>
      <w:r>
        <w:t>(Dispositiv nächste Seite)</w:t>
      </w:r>
    </w:p>
    <w:p>
      <w:r>
        <w:t>D-1241/2022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