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D-123/2009 vom 7. April 2009</w:t>
      </w:r>
    </w:p>
    <w:p>
      <w:r>
        <w:t>Bundesverwaltungsgericht, 2009-04-07, DE</w:t>
      </w:r>
    </w:p>
    <w:p>
      <w:r>
        <w:rPr>
          <w:b/>
        </w:rPr>
        <w:t xml:space="preserve">Quelle: </w:t>
      </w:r>
      <w:r>
        <w:t>https://mcp.opencaselaw.ch/entscheid/bvger_D-123_2009</w:t>
      </w:r>
    </w:p>
    <w:p>
      <w:r>
        <w:t>FR: TAF D-123/2009 du 7 avril 2009</w:t>
      </w:r>
    </w:p>
    <w:p>
      <w:r>
        <w:t>IT: TAF D-123/2009 del 7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somit - vorbehältlich nachfolgender Einschränkung - einzutreten.</w:t>
      </w:r>
    </w:p>
    <w:p>
      <w:r>
        <w:rPr>
          <w:b/>
        </w:rPr>
        <w:t>E. 1.3</w:t>
      </w:r>
    </w:p>
    <w:p>
      <w:r>
        <w:t>Für die Anerkennung der Staatenlosigkeit nach dem Übereinkommen vom 28. September 1954 über die Rechtsstellung der Staatenlosen (SR 0.142.40) und die daran anknüpfende Ausstellung von Reisedokumenten ist erstinstanzlich das BFM zuständig (vgl. Art. 59 Abs. 1 und Abs. 2 Bst. b sowie Art. 98 Abs. 1 des Bundesgesetzes vom 16. Dezember 2005 über die Ausländerinnen und Ausländer [AuG, SR 142.20]; Art. 1 der Verordnung vom 27. Oktober 2004 über die Ausstellung von Reisedokumenten für ausländische Personen [RDV, SR 143.5]; Urteil des Bundesverwaltungsgerichts C-1055/2006 vom 23. Februar 2007 E. 5.2). Da im Falle des Beschwerdeführers kein diesbezüglicher erstinstanzlicher Entscheid des BFM vorliegt, der beim Bundesverwaltungericht angefochten werden könnte, ist auf das betreffende Begehren mangels funktioneller Zuständigkeit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Nach Prüfung der Akten durch das Gericht ist - in Übereinstimmung mit der Vorinstanz - festzustellen, dass die Vorbringen des Beschwerdeführers den Anforderungen an die Glaubhaftigkeit gemäss Art. 7 AsylG nicht standzuhalten vermögen, weshalb diesbezüglich vorab auf die zutreffenden vorinstanzlichen Erwägungen zu verweisen ist (vgl. Bst. I). Der Beschwerdeführer hat in Bezug auf seine Ausweispapiere und seine Wohnadresse widersprüchliche und somit unglaubhafte Angaben gemacht, weshalb seine persönliche Glaubwürdigkeit in Frage gestellt ist. Die Ausführungen dazu in der Beschwerde, er habe anlässlich des ersten Asylverfahrens inkorrekte Angaben gemacht, um eine Wegweisung nach Äthiopien unter allen Umständen zu verhindern, sind nicht nachvollziehbar und vermögen das Gericht nicht zu überzeugen. Auch die Vorbringen des Beschwerdeführers betreffend das Unvermögen der Einreichung eines Identitätspapieres bezüglich seiner Person vermögen ebenfalls nicht zu überzeugen, zumal der Beschwerdeführer Mittel und Wege gefunden hat, Beweismittel in Bezug auf seinen Vater zu beschaffen. Aufgrund der unsubstanziierten Vorbringen des Beschwerdeführers ist übereinstimmend mit der Vorinstanz festzuhalten, dass nicht davon auszugehen ist, der Beschwerdeführer habe bei einer Rückkehr nach Äthiopien asylrelevante Nachteile zu befürchten. Der Beschwerdeführer erfüllt somit die Voraussetzungen zur Zuerkennung der Flüchtlingseigenschaft nicht, weshalb die Vorinstanz das Asylbegehren zu Recht ohne weitere Abklärungen abgelehnt hat. An diesem Ergebnis vermögen auch die weiteren Ausführungen des Beschwerdeführers in der Rechtsmittelschrift nichts zu ändern, weshalb darauf nicht näher eingegangen wird. Da vorliegend der Sachverhalt genügend erstellt ist, ist das Subsubeventualbegehren des Beschwerdeführers, wonach die Sache zur Neubeurteilung an die Vorinstanz zurückzuweisen sei, abzuweisen. Dies gilt insbesondere auch für das Begehren, es sei eine zweite Botschaftsabklärung durchzuführen.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nach den vorstehenden Erwägungen nicht gelungen.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Bei einer Gesamtwürdigung der aktuellen Situation in Äthiopien bestehen keine Hinweise darauf, dass der junge und offenbar gesunde Beschwerdeführer, welcher eigenen Angaben zufolge über eine zwölfjährige Schulbildung verfügt, in Äthiopien einer konkreten Gefährdung im Sinne von Art. 83 Abs. 4 AuG ausgesetzt sein könnte. Es ist ihm zuzumuten, sich erneut in seinem Kulturkreis niederzulassen und dort eine neue Existenz aufzubauen, zumal er über eine langjährige Erfahrung als Taxifahrer verfügt. Darüber hinaus ist festzuhalten, dass sich im vorliegenden Verfahren zusätzliche Abklärungen zur Ermittlung allfälliger Wegweisungsvollzugshindernisse erübrigen, umso mehr, als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Der Beschwerdeführer ist indes aufgrund des unglaubhaften Sachvortrags seiner Mitwirkungs- und Wahrheitspflicht im Rahmen der Sachverhaltsermittlung nicht nachgekommen, mithin es nicht Aufgabe der Asylbehörden ist, bei fehlenden Hinweisen seitens des Beschwerdeführers nach allfälligen Wegweisungshindernissen zu forschen. Da sich die Angaben des Beschwerdeführers im Zusammenhang mit seinen Familienverhältnissen in Äthiopien, wonach er seine dort lebenden Verwandten - ausser seiner Mutter - nicht kenne (act. B 23/15, S. 8), als unglaubhaft erweisen und er aus Addis Abeba stammt, ist davon auszugehen, dass er dort nach wie vor über ein tragfähiges Beziehungsnetz verfügt. Zudem sind keine weiteren persönlichen Gründe ersichtlich, aufgrund derer unter Umständen geschlossen werden könnte, der Beschwerdeführer gerate im Falle der Rückkehr in eine existenzbedrohende Situation (vgl. EMARK 2005 Nr. 24 E. 10.1. S. 215), weshalb der Vollzug der Wegweisung - in Übereinstimmung mit der Vorinstanz - auch diesbezüglich als zumutbar zu bezeichnen ist. Nach Ansicht der Vorinstanz könne im vorliegenden Fall die vorläufige Aufnahme gestützt auf Art. 83 Abs. 7 Bstn. a und b AuG ohnehin nicht verfügt werden, da der Beschwerdeführer mit Urteil des Bezirksgerichts B._______ vom 22. Mai 2008 zu einer längeren Freiheitsstrafe verurteilt worden sei beziehungsweise erheblich und widerholt gegen die öffentliche Sicherheit und Ordnung in der Schweiz verstossen habe. Da - wie soeben dargelegt - der Vollzug der Wegweisung ohnehin als zumutbar zu erachten ist, kann vorliegend offen bleiben, ob Art. 83 Abs. 7 Bst. a beziehungsweise b AuG anwendbar ist.</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21. Januar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