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D-1232/2020 vom 17. Juni 2020</w:t>
      </w:r>
    </w:p>
    <w:p>
      <w:r>
        <w:t>Bundesverwaltungsgericht, 2020-06-17, DE</w:t>
      </w:r>
    </w:p>
    <w:p>
      <w:r>
        <w:rPr>
          <w:b/>
        </w:rPr>
        <w:t xml:space="preserve">Quelle: </w:t>
      </w:r>
      <w:r>
        <w:t>https://mcp.opencaselaw.ch/entscheid/bvger_D-1232_2020</w:t>
      </w:r>
    </w:p>
    <w:p>
      <w:r>
        <w:t>FR: TAF D-1232/2020 du 17 juin 2020</w:t>
      </w:r>
    </w:p>
    <w:p>
      <w:r>
        <w:t>IT: TAF D-1232/2020 del 17 giugno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Gestützt auf Art. 111a Abs. 1 AsylG wurde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 m.w.H.).</w:t>
      </w:r>
    </w:p>
    <w:p>
      <w:r>
        <w:rPr>
          <w:b/>
        </w:rPr>
        <w:t>E. 5.1</w:t>
      </w:r>
    </w:p>
    <w:p>
      <w:r>
        <w:t>Entgegen der in der Beschwerde vertretenen Auffassung hat sich das SEM im vorliegenden Fall keine unrichtige Anwendung der Beweisregel von Art. 7 AsylG vorzuwerfen. Wie in der angefochtenen Verfügung mit umfassender Begründung zutreffend erläutert wird, halten die Vorbringen des Beschwerdeführers in den wesentlichen Punkten den Anforderungen an das reduzierte Beweismass des Glaubhaftmachens nicht stand. So hat sich der Beschwerdeführer in Übereinstimmung mit der Vorinstanz Ungereimtheiten hinsichtlich der Art und Weise entgegenhalten zu lassen, in welcher er gemäss seinen Angaben von den sri-lankischen Behörden angegangen worden sein will. Im Gegensatz zu seinen Aussagen in der BzP, CID-Agenten seien sieben bis achtmal an seinem Wohnhaus erschienen, hätten Geld von ihm zu erpressen versucht und ihn geschlagen (vgl. act. A5/12, S. 7), gab er im weiteren Verlauf der BzP und in der Anhörung an, er habe persönlich nie CID-Agenten getroffen, weil er bei deren Auftauchen jeweils in der Schule oder bei der Arbeit gewesen sei (vgl. act. A5/12, S. 8; A14/17, F51). In der Anhörung machte er zudem erstmals geltend, die CID-Agenten hätten nicht von ihm, sondern von seinen Eltern, Geld zu erpressen versucht (vgl. act. A14/17, F44). Diese Ungereimtheiten werden in der Beschwerde trotz darauf Bezug nehmender Einwendungen (vgl. daselbst, S. 3) nicht aufgelöst und lassen sich nicht schlüssig auf angebliche «Sprachunterschiede» und «Missverständnisse» in den Befragungen zurückführen, lassen sich doch in den Protokollen keine solchen Hinweise finden. In der Tat ist von einem Asylgesuchsteller, der über aussergewöhnliche und zwangsläufig einprägsame Erlebnisse wie behördliche Nachstellungen und Todesdrohungen berichtet, natürlicherweise zu erwarten, dass er das Naheliegende in den Vordergrund stellt. Demnach ist es schlechterdings nicht nachvollziehbar, dass der Beschwerdeführer in den Befragungen diese Vorfälle derart unterschiedlich wiedergibt. Diese Zweifel werden dadurch verstärkt, dass der Beschwerdeführer kein nachvollziehbares Verfolgungsinteresse der sri-lankischen Behörden an ihm zu substanzzieren vermag. So hat er für die TNA lediglich niederschwellige Arbeiten ausgeführt und war eigenen Angaben gemäss selbst politisch nie aktiv (vgl. act. A14/17, F82). Inwiefern an einer Person mit diesem Profil ein behördliches Interesse bestehen sollte, leuchtet nicht ein. Aus diesen Gründen lässt sich das Fazit ziehen, dass der Beschwerdeführer die wesentlichen Teile seiner Gesuchsbegründung weder nachzuweisen noch glaubhaft im Sinne von Art. 7 Abs. 2 und 3 AsylG zu machen vermag. Angesichts der aufgezeigten Sachlage erübrigt es sich, auf weitere Einwendungen in der Beschwerde einzugehen, da sie nicht geeignet sind, eine andere Einschätzung in der Frage der Glaubhaftmachung eines unter dem Blickwinkel von Art. 3 AsylG relevanten Sachverhalts herbeizuführen.</w:t>
      </w:r>
    </w:p>
    <w:p>
      <w:r>
        <w:rPr>
          <w:b/>
        </w:rPr>
        <w:t>E. 5.2</w:t>
      </w:r>
    </w:p>
    <w:p>
      <w:r>
        <w:t>Es liegen auch keine Risikofaktoren vor (vgl. zu diesen Faktoren Urteil des Bundesverwaltungsgerichts E-1866/2015 vom 15. Juli 2016 E. 9.2.4 [als Referenzurteil publiziert]), die für den Beschwerdeführer die ernsthafte Gefahr begründeten, bei einer Rückkehr nach Sri Lanka Verfolgungsmassnahmen ausgesetzt zu werden. Der Beschwerdeführer konnte keine asylrelevante Verfolgung vor seiner Ausreise glaubhaft machen. Vielmehr konnte er vor Ort leben, die Schule abschliessen und arbeiten. Die - sofern überhaupt glaubhaften - Ausführungen zu den Beziehungen seiner Familie zu den LTTE sind zu oberflächlich ausgefallen und haben kein Verfolgungsinteresse seitens der sri-lankischen Behörden an seiner Person ausgelöst respektive haben sich als unglaubhaft erwiesen. Es bestehen keine hinreichenden Anhaltspunkte dafür, dass dem Beschwerdeführer bei einer Rückkehr nach Sri Lanka persönlich ernsthafte Nachteile im Sinne von Art. 3 AsylG drohen könnten.</w:t>
      </w:r>
    </w:p>
    <w:p>
      <w:r>
        <w:rPr>
          <w:b/>
        </w:rPr>
        <w:t>E. 5.3</w:t>
      </w:r>
    </w:p>
    <w:p>
      <w:r>
        <w:t>Seit Einreichung des Asylgesuchs durch den Beschwerdeführer war die Lage in Sri Lanka verschiedenen Veränderungen unterworfen, wobei namentlich politische Spannungen, die Terroranschläge an Ostern 2019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17. Juni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 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 den Präsidentschaftswahlen vom 16. November 2019 respektive deren Folgen besteht. Ein solcher Bezug ist vorliegend, wie sich aus den vorstehenden Erwägungen ergibt, nicht ersichtlich.</w:t>
      </w:r>
    </w:p>
    <w:p>
      <w:r>
        <w:rPr>
          <w:b/>
        </w:rPr>
        <w:t>E. 5.4</w:t>
      </w:r>
    </w:p>
    <w:p>
      <w:r>
        <w:t>Damit ist nach Würdigung der gesamten Umstände als Ergebnis festzuhalten, dass der Beschwerdeführer die Voraussetzungen zur Flüchtlingseigenschaft im Sinne von Art. 3 AsylG nicht erfüllt. Folgerichtig bleibt ihm die Gewährung von Asyl durch die schweizerischen Behörden versagt (Art. 2 Abs. 1 und Art. 49 AsylG). Die Ablehnung des entsprechenden Gesuchs durch die Vorinstanz ist zu bestätigen. 6.Gemäss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7.2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 auch mit Blick auf die in der Beschwerde zitierten Berichte -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hindeutet,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könnte. Solches lässt sich gemäss obenstehenden Ausführungen auch nicht annehmen.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EGMR, Urteil i.S. Paposhvili gegen Belgien vom 17. April 2014, Beschwerde-Nr. 41738/10), sind aufgrund der Akten ebenfalls nicht ersichtlich. Der Vollzug der Wegweisung ist zulässig.</w:t>
      </w:r>
    </w:p>
    <w:p>
      <w:r>
        <w:rPr>
          <w:b/>
        </w:rPr>
        <w:t>E. 7.3</w:t>
      </w:r>
    </w:p>
    <w:p>
      <w:r>
        <w:t>Nach Art. 83 Abs. 4 AIG kann der Vollzug für Ausländerinnen und Ausländer unzumutbar sein, wenn sie im Heimat- oder Herkunftsstaat auf Grund von Situationen wie Krieg, Bürgerkrieg, allgemeiner Gewalt und medizinischer Notlage konkret gefährdet sind. Der bewaffnete Konflikt zwischen der sri-lankischen Regierung und den LTTE ist im Mai 2009 zu Ende gegangen. Aktuell herrscht in Sri Lanka weder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wonach der Wegweisungsvollzug in die Ost- und Nordprovinz grundsätzlich zumutbar ist, was gemäss Urteil D-3619/2016 vom 16. Oktober 2017 (als Referenzurteil publiziert) auch für das Vanni-Gebiet gilt. Der Beschwerdeführer stammt ursprünglich aus B._______ und hat bis zu seiner Ausreise aus Sri Lanka über zwanzig Jahre in der Nordprovinz gelebt. Der Vollzug in dieses Gebiet ist gemäss gefestigter Rechtsprechung grundsätzlich zumutbar. In vorliegenden Fall sprechen sodann keine individuellen Gründe gegen einen Wegweisungsvollzug. Beim Beschwerdeführer handelt es sich um einen jungen, gesunden Mann mit Schulbildung und Berufserfahrung. Im Weiteren verfügt er in Sri Lanka mit seiner Familie (Eltern, Geschwister) über ein tragfähiges Beziehungsnetz und insoweit eine gesicherte Wohnsituation.</w:t>
      </w:r>
    </w:p>
    <w:p>
      <w:r>
        <w:rPr>
          <w:b/>
        </w:rPr>
        <w:t>E. 7.4</w:t>
      </w:r>
    </w:p>
    <w:p>
      <w:r>
        <w:t>Nach Art. 83 Abs. 2 AIG ist der Vollzug auch als möglich zu bezeichnen, weil der Beschwerdeführer über eine ID verfügt und es ihm weitergehend obliegt, sich die für eine Rückkehr notwendigen Reisedokumente bei der zuständigen Vertretung seines Heimatstaats zu beschaffen (Art. 8 Abs. 4 AsylG, vgl. dazu BVGE 2008/34 E. 12). Der Vollzug der Wegweisung ist möglich.</w:t>
      </w:r>
    </w:p>
    <w:p>
      <w:r>
        <w:rPr>
          <w:b/>
        </w:rPr>
        <w:t>E. 7.5</w:t>
      </w:r>
    </w:p>
    <w:p>
      <w:r>
        <w:t>Die Vorinstanz hat den Vollzug demnach zu Recht als zulässig, zumutbar und möglich erachtet. Damit fällt die Anordnung der vorläufigen Aufnahme ausser Betracht (Art. 83 Abs. 1-4 AIG). 8.Aus diesen Erwägungen ergibt sich, dass die angefochtene Verfügung Bundesrecht nicht verletzt und auch sonst nicht zu beanstanden ist (Art. 106 AsylG und Art. 49 VwVG). Die Beschwerde ist abzuweisen.</w:t>
      </w:r>
    </w:p>
    <w:p>
      <w:r>
        <w:rPr>
          <w:b/>
        </w:rPr>
        <w:t>E. 9</w:t>
      </w:r>
    </w:p>
    <w:p>
      <w:r>
        <w:t>Bei diesem Ausgang des Verfahrens wären dessen Kosten grundsätzlich dem Beschwerdeführer aufzuerlegen (Art. 63 Abs. 1 VwVG). Da sich die Beschwerde indessen nicht als aussichtslos erweist, ist das in der Beschwerde gestellte Gesuch um unentgeltliche Prozessführung gutzuheissen, und es sind dem Beschwerdeführer keine Verfahrenskosten aufzuerlegen. Mit dem vorliegenden Urteil ist der Antrag auf Verzicht auf einen Kostenvorschuss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