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D-1221/2026 vom 2. Juni 2026</w:t>
      </w:r>
    </w:p>
    <w:p>
      <w:r>
        <w:t>Bundesverwaltungsgericht, 2026-06-02, DE</w:t>
      </w:r>
    </w:p>
    <w:p>
      <w:r>
        <w:rPr>
          <w:b/>
        </w:rPr>
        <w:t xml:space="preserve">Quelle: </w:t>
      </w:r>
      <w:r>
        <w:t>https://mcp.opencaselaw.ch/entscheid/bvger_D-1221_2026</w:t>
      </w:r>
    </w:p>
    <w:p>
      <w:r>
        <w:t>FR: TAF D-1221/2026 du 2 juin 2026</w:t>
      </w:r>
    </w:p>
    <w:p>
      <w:r>
        <w:t>IT: TAF D-1221/2026 del 2 giugno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Der Beschwerde kommt von Gesetzes wegen die aufschiebende Wirkung zu und die Vorinstanz hat diese nicht entzogen (Art. 42 AsylG, Art. 55 Abs. 1 und 2 VwVG), weshalb auf das Gesuch um Erteilung der aufschiebenden Wirkung der Beschwerde nicht einzutreten ist. 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zur Begründung ihres Asylentscheids im Wesentlichen aus, dass die Vorbringen des Beschwerdeführers in Bezug auf das vor der Ausreise eingeleitete Strafverfahren betreffend Präsidentenbeleidigung den Anforderungen an die Glaubhaftigkeit gemäss Art. 7 AsylG nicht standhielten. Im Zusammenhang mit türkischen Gerichtsdokumenten sei seit Längerem bekannt, dass diese in der Türkei problemlos gegen Entgelt beschafft werden könnten, sowohl von professionellen Fälschern wie auch von korrupten Justizbeamten. Aus diesem Grund seien die eingereichten Gerichtsdokumente einer amtsinternen Prüfung unterzogen worden, welche ergeben habe, dass alle drei Dokumente zum Strafverfahren objektive Fälschungsmerkmale aufweisen würden und somit davon auszugehen sei, dass es sich um Fälschungen handle. Die Erklärungsversuche des Beschwerdeführers im Rahmen des rechtlichen Gehörs würden zudem die Einschätzung der Vorinstanz nicht zu ändern vermögen. In Bezug auf die im Rahmen des rechtlichen Gehörs neu eingereichten Dokumente hat die Vorinstanz diese auf ihre flüchtlingsrechtliche Relevanz hin geprüft. So mache der Beschwerdeführer geltend, dass zwischenzeitlich in der Türkei ein weiteres Ermittlungsverfahren gegen ihn wegen Terrorpropaganda laufe. Die Vorinstanz verweist auf die vom Bundeverwaltungsgericht aufgestellten Kriterien für die Beurteilung der flüchtlingsrechtlichen Relevanz bei Ermittlungsverfahren wegen Propaganda für eine Terrororganisation oder Präsidentenbeleidigung (Urteil des BVGer E-4103/2024 vom 8. November 2024, E. 8.2. f.). Diese seien vorliegend nicht erfüllt und es gäbe keine konkreten Hinweise dafür, dass dem Beschwerdeführer in naher Zukunft eine flüchtlingsrelevante Verfolgung beziehungsweise Verurteilung drohe. Somit könne auch die Frage, ob es sich bei den das Ermittlungsverfahren betreffende Verfahrensdokumente um echte Dokumente handle, offengelassen werden. Schliesslich sei auch darauf hinzuweisen, dass die für dieses Strafverfahren relevanten Beiträge in den sozialen Medien erst nach der Ausreise entstanden seien und der Beschwerdeführer somit die allfällige Einleitung eines Strafverfahrens und entsprechende Folgen bei Rückreise in die Türkei bewusst in Kauf genommen habe. Der Beschwerdeführer habe versucht, subjektive Nachfluchtgründe zu schaffen und seine Vorgehensweise sei als Rechtsmissbrauch zu werten, der keinen Schutz verdiene. Zusammenfassend stellt die Vorinstanz fest, dass der Beschwerdeführer die Flüchtlingseigenschaft im Sinne von Art. 3 AsylG nicht erfüllt. Auch die vom Beschwerdeführer dargelegte Diskriminierung aufgrund seiner ethnischen Zugehörigkeit erreiche die flüchtlingsrechtliche Schwelle nicht. Dies werde auch die Rechtsprechung des Bundesverwaltungsgerichts in Bezug auf die Situation der kurdischen Bevölkerung in der Schweiz bestätigt. Schliesslich sei auch nicht erkennbar, inwiefern der Beschwerdeführer gezielt von der Hizbullah verfolgt worden sei, weshalb auch in dieser Hinsicht nicht von einer individuellen Gefährdungslage auszugehen sei.</w:t>
      </w:r>
    </w:p>
    <w:p>
      <w:r>
        <w:rPr>
          <w:b/>
        </w:rPr>
        <w:t>E. 5.2</w:t>
      </w:r>
    </w:p>
    <w:p>
      <w:r>
        <w:t>In der Begründung seines Rechtsmittels macht der Beschwerdeführer im Wesentlichen geltend, dass die Vorinstanz das rechtliche Gehör verletzt habe, indem die eingereichten Beweismittel nicht hinreichend berücksichtigt worden seien und sich die Vorinstanz mit den zentralen Argumenten nicht genügend auseinandergesetzt habe. Der Beschwerdeführer sei aufgrund seiner kurdischen Ethnie diskriminiert worden und die Strafverfahren seien politisch motiviert.</w:t>
      </w:r>
    </w:p>
    <w:p>
      <w:r>
        <w:rPr>
          <w:b/>
        </w:rPr>
        <w:t>E. 6</w:t>
      </w:r>
    </w:p>
    <w:p>
      <w:r>
        <w:t>Für die eventualiter beantragte Rückweisung der Sache an die Vorinstanz besteht keine Veranlassung. Aus den nachfolgenden Erwägungen ergibt sich, dass der rechtserhebliche Sachverhalt von der Vorinstanz unter Wahrung der Parteirechte des Beschwerdeführers vollständig und korrekt erhoben worden ist. Auch von einer ungenügenden Auseinandersetzung mit den Wesentlichen Sachverhaltselementen beziehungsweise einer Verletzung der Begründungspflicht kann nicht gesprochen werden. Das Kassationsbegehren ist somit abzuweisen.</w:t>
      </w:r>
    </w:p>
    <w:p>
      <w:r>
        <w:rPr>
          <w:b/>
        </w:rPr>
        <w:t>E. 7.1</w:t>
      </w:r>
    </w:p>
    <w:p>
      <w:r>
        <w:t>Das Bundesverwaltungsgericht kommt nach Prüfung der Akten zum Schluss, dass die angefochtene Verfügung auch inhaltlich nicht zu beanstanden ist. Die knappen Ausführungen in der Beschwerde vermögen den Erwägungen der Vorinstanz in der angefochtenen Verfügung nichts Stichhaltiges entgegenzusetzen, soweit darauf in der Beschwerde überhaupt Bezug genommen wird. Es kann demnach im Wesentlichen auf die Erwägungen im Asylentscheid der Vorinstanz verwiesen werden.</w:t>
      </w:r>
    </w:p>
    <w:p>
      <w:r>
        <w:rPr>
          <w:b/>
        </w:rPr>
        <w:t>E. 7.2</w:t>
      </w:r>
    </w:p>
    <w:p>
      <w:r>
        <w:t>Die Vorinstanz har eine ausführliche Authentizitätsprüfung vorgenommen und in seiner Zwischenverfügung betreffend Gewährung des rechtlichen Gehörs nachvollziehbar dargelegt, dass die angeblichen Verfahrensdokumente von vielen objektiven Fälschungsmerkmalen geprägt sind. Diese lassen in ihrer Gesamtheit vernünftigerweise nur den Schluss zu, dass es sich bei diesen Dokumenten um Fälschungen handelt. Die Beteuerungen des Beschwerdeführers im Rahmen des rechtlichen Gehörs vermögen die überzeugend dargelegten Fälschungsmerkmale offensichtlich nicht aufzuwiegen. Damit hat der Beschwerdeführer den Kern der Begründung seines Asylgesuchs auf gefälschte Beweismittel abgestützt. Im Übrigen ist darauf hinzuweisen, dass die entsprechenden Schilderungen der Ereignisse überaus vage und unsubstantiiert ausgefallen sind. Das geltend gemachte Strafverfahren, die Verurteilung und erlittene Haft aus politischen Gründen erweisen sich damit als unglaubhaft (Art. 3 Abs. 2 AsylG).</w:t>
      </w:r>
    </w:p>
    <w:p>
      <w:r>
        <w:rPr>
          <w:b/>
        </w:rPr>
        <w:t>E. 7.3</w:t>
      </w:r>
    </w:p>
    <w:p>
      <w:r>
        <w:t>Ob die übrigen Asylvorbringen (insbesondere das angebliche Ermittlungsverfahren wegen Terrorpropaganda) authentisch sind, ist angesichts der früheren Einreichung gefälschter Beweismittel zu bezweifeln. Letztlich kann diese Frage aber offenbleiben, weil sie - wie von der Vorinstanz zutreffend dargelegt - im Sinne der Rechtsprechung des Bundesverwaltungsgerichts flüchtlingsrechtlich nicht relevant sind. Bei den vor Bundesverwaltungsgericht eingereichten Beweismitteln handelt es sich bei den das Ermittlungsverfahren betreffenden Dokumenten um Dokumente, die bereits der Vorinstanz eingereicht wurden. Obwohl es sich gemäss Titel und Inhalt um die gleichen Dokumente handelt, lassen sich bei genauem Vergleich kleine Abweichungen von den bereits bei der Vorinstanz eingereichten Dokumente erkennen, was den vorliegenden Fälschungsverdacht noch weiter verstärkt. Neu eingereicht wurden lediglich Übersetzungen der entsprechenden Dokumente sowie Fotos von Kundgebungen. Da der Beschwerdeführer ohnehin kein massgebliches politisches Profil aufweist, wäre auch bei Wahrunterstellung des Ermittlungsverfahrens wegen Terrorpropaganda nicht von einer asylrechtlich relevanten Verfolgungssituation auszugehen. Diesbezüglich kann vollumfänglich auf die weiterhin geltende Praxis gemäss Referenzurteil E-4103/2024 vom 8. November 2024 verwiesen werden.</w:t>
      </w:r>
    </w:p>
    <w:p>
      <w:r>
        <w:rPr>
          <w:b/>
        </w:rPr>
        <w:t>E. 7.4</w:t>
      </w:r>
    </w:p>
    <w:p>
      <w:r>
        <w:t>Die Vorinstanz hat zu Recht die Flüchtlingseigenschaft des Beschwerdeführers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Bezüglich der Voraussetzungen zur Zulässigkeit, Zumutbarkeit und Möglichkeit des Wegweisungsvollzugs kann auf die geltende und geläufige Praxis der Asylbehörden verwiesen werden (vgl. insbesondere bezüglich der Türkei statt vieler Urteile des Bundesverwaltungsgericht E-7263/2017 vom 25. Juli 2019 E. 7ff., E-1308/2023 vom 19. März 2024 E. 9ff. sowie E-4103/2024 vom 8. November 2024 E.12ff.).</w:t>
      </w:r>
    </w:p>
    <w:p>
      <w:r>
        <w:rPr>
          <w:b/>
        </w:rPr>
        <w:t>E. 9.2</w:t>
      </w:r>
    </w:p>
    <w:p>
      <w:r>
        <w:t>Für die vorliegende Beurteilung des Wegweisungsvollzugs kann vollumfänglich auf die zutreffenden Erwägungen der Vorinstanz verwiesen werden, zumal diesen Ausführungen in der Beschwerde nichts Inhaltliches entgegengehalten wird und sich nach dem bisher Gesagten den Akten auch keine Hinweise entnehmen lassen, die auf mögliche Gründe für die Unzulässigkeit, Unzumutbarkeit oder Unmöglichkeit hinweisen würden.</w:t>
      </w:r>
    </w:p>
    <w:p>
      <w:r>
        <w:rPr>
          <w:b/>
        </w:rPr>
        <w:t>E. 9.3</w:t>
      </w:r>
    </w:p>
    <w:p>
      <w:r>
        <w:t>Demzufolge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in gleicher Höhe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