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D-1218/2008 vom 3. September 2010</w:t>
      </w:r>
    </w:p>
    <w:p>
      <w:r>
        <w:t>Bundesverwaltungsgericht, 2010-09-03, FR</w:t>
      </w:r>
    </w:p>
    <w:p>
      <w:r>
        <w:rPr>
          <w:b/>
        </w:rPr>
        <w:t xml:space="preserve">Quelle: </w:t>
      </w:r>
      <w:r>
        <w:t>https://mcp.opencaselaw.ch/entscheid/bvger_D-1218_2008</w:t>
      </w:r>
    </w:p>
    <w:p>
      <w:r>
        <w:t>FR: TAF D-1218/2008 du 3 septembre 2010</w:t>
      </w:r>
    </w:p>
    <w:p>
      <w:r>
        <w:t>IT: TAF D-1218/2008 del 3 settembre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L'intéressée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n'est pas possible d'accorder le moindre crédit aux déclarations de la recourante. En effet, le récit qu'elle a livré s'agissant des motifs à l'origine de sa demande d'asile en Suisse est inconsistant, contradictoire et, partant, ne saurait refléter la réalité. En outre, son recours ne contient aucun argument ou moyen de preuve de nature à remettre en cause l'analyse effectuée par l'autorité de première instance dans sa décision du 1er février 2008. Les explications fournies dans le courrier posté le 21 janvier 2010 (cf. let. K ci-dessus) ne sauraient remettre valablement en cause cette appréciation. En effet, dans cet écrit, la recourante expose ou précise des faits qui divergent à maints égards des déclarations convergentes qu'elle a tenues lors des auditions des 11 et 23 janvier 2008, ce qui affaiblit encore sa crédibilité personnelle et renforce, en revanche, le caractère invraisemblable de ses motifs d'asile. Notamment, elle déclare (cf. ce courrier, p. 2, §4, et p. 3, §1) avoir passé trois nuits dans le village de son époux, avoir dormi la première nuit avec ses père et mère dans la même chambre, et avoir été violée, au cours des deux nuits suivantes, successivement par son époux et les deux fils de ce dernier. Lors de ses auditions des 11 et 23 janvier 2008, elle avait pourtant clairement affirmé n'avoir séjourné que deux nuits dans le village de son époux et avoir été abusée durant la première nuit. Quant à la date prévue de l'excision, elle la situe "le lendemain matin" de son retour au village, soit le 6 décembre 2007 (cf. la p. 3 en relation avec le § 3 de la p. 1 du courrier du 21 janvier 2010), et non plus le 12 décembre 2007 (cf. le pv de l'audition du 23 janvier 2010, question 75, p. 6). Enfin, si le mariage avait été dépourvu de cérémonie comme l'avait initialement soutenu la recourante (cf. le pv de l'audition du 23 janvier 2008, question 61, p. 5), il est hors de question que la mariée ait été vêtue d'une robe blanche, surtout si son mari avait été musulman (cf. le courrier du 21 janvier 2010, p. 2, § 1) et que de nombreuses personnes se soient déplacées pour assister à la "fête". Enfin, les éléments d'invraisemblance émaillant le récit de la recourante ne sauraient être expliqués, comme celle-ci le soutient dans son recours et dans ses écrits postérieurs, par un quelconque traumatisme, ni par une éducation scolaire lacunaire, ni par le stress. A cet égard, le Tribunal relève notamment que la recourante n'est pas illettrée, la feuille de données personnelles ayant été remplie de sa main (pièce A2/2 du dossier de l'ODM) et les actes nécessaires à son pourvoi devant le Tribunal ayant apparemment été rédigés par elle, qu'elle a toujours déclaré que le contenu des procès-verbaux des auditions correspondait à ses propos et qu'elle n'a pas démontré souffrir, lors de celles-ci ni même ultérieurement, de troubles psychiques de nature à perturber gravement sa capacité d'entendement. A cet égard, force est de constater que la recourante n'aurait pas attendu janvier 2010 pour consulter un médecin spécialiste en psychiatrie et psychothérapie (cf. le rapport du 20 mai 2010 cité sous let. L ci-dessus) si son état psychique avait été si grave au point d'altérer sa capacité de discernement.</w:t>
      </w:r>
    </w:p>
    <w:p>
      <w:r>
        <w:rPr>
          <w:b/>
        </w:rPr>
        <w:t>E. 3.2</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Dans le cas contraire, l'ODM règle les conditions de résidence conformément à l'art. 83 de la loi fédérale du 16 décembre 2005 sur les étrangers (LEtr, RS 142.20).</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 cf. également arrêts de la Cour européenne des droits de l'homme en l'affaire F.H. c. Suède du 20 janvier 2009, requête no 32621/06, et en l'affaire Saadi c. Italie du 28 février 2008, requête no 37201/06).</w:t>
      </w:r>
    </w:p>
    <w:p>
      <w:r>
        <w:rPr>
          <w:b/>
        </w:rPr>
        <w:t>E. 6.4</w:t>
      </w:r>
    </w:p>
    <w:p>
      <w:r>
        <w:t>En l'occurrence, la recourante n'a pas établi qu'un tel risque pèse sur elle (cf. consid. 3 supra).</w:t>
      </w:r>
    </w:p>
    <w:p>
      <w:r>
        <w:rPr>
          <w:b/>
        </w:rPr>
        <w:t>E. 6.5</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7.3</w:t>
      </w:r>
    </w:p>
    <w:p>
      <w:r>
        <w:t>En l'espèce,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dans un arrêt récent (ATAF 2009/41 consid. 7, spéc. consid. 7.10 et 7.11), le Tribunal a procédé à une analyse détaillée de la situation en Côte d'Ivoire et a livré ses conclusions quant à la question de l'exigibilité de l'exécution du renvoi. Il a estimé que, sous réserve d'une appréciation de cas en cas prenant en compte un certain nombre de critères (état de santé, formation professionnelle, réseau social et familial, possibilité de réinstallation), l'exécution du renvoi est raisonnablement exigible dans le sud et à l'est du pays, notamment dans les grands centres urbains de ces régions, tels Abidjan, Yamoussoukro et San Pedro. En effet, compte tenu de la présence de toutes les ethnies du pays dans les grandes villes et du brassage important de la population, les conflits intercommunautaires sont moins présents et toute personne peut y trouver des membres de son ethnie susceptibles de lui apporter un soutien de tout genre. En outre, compte tenu de l'importance accordée au réseau familial et social dans les pays de l'Afrique de l'ouest, il est hautement probable que les Ivoiriens qui ont transité par une grande ville avant leur départ y ont de la famille au sens large, voire des relations à même de leur apporter un soutien et une possibilité d'hébergement en cas de retour.</w:t>
      </w:r>
    </w:p>
    <w:p>
      <w:r>
        <w:rPr>
          <w:b/>
        </w:rPr>
        <w:t>E. 7.4</w:t>
      </w:r>
    </w:p>
    <w:p>
      <w:r>
        <w:t>En l'espèce, et au vu de la jurisprudence mentionnée ci-dessus, il ne peut être exigée de la recourante qu'elle parte s'installer dans la région des dix-huit Montagnes, d'où elle provient. En revanche, il peut être exigé d'elle qu'elle retourne à Abidjan. En effet, à son retour dans cette agglomération, elle ne sera pas livrée à elle-même et ne vivra pas dans le dénuement, dans la mesure où elle y a été hébergée par une amie avant son départ pour la Suisse. A cet égard, il y a lieu de rappeler que les motifs de sa venue en Suisse ne sont pas crédibles (cf. consid. 3 supra), de sorte qu'il ne saurait être admis que cette amie lui ait demandé de quitter son domicile pour les raisons invoquées ni, par conséquent, qu'elle refuse de l'accueillir de nouveau. Jeune et sans charge de famille, elle a déclaré avoir exercé la profession de commerçante dans son pays d'origine (cf. le pv de l'audition du 11 janvier 2008, ch. 8, p. 2). Il lui sera loisible, le cas échéant, de requérir un micro-crédit pour l'aider à financer une activité lucrative propre à lui assurer une autonomie financière (cf. ATAF 2009/41 consid. 7.9.4 et 7.12). La recourante soutient que l'exécution de son renvoi est inexigible en raison de troubles psychiques diagnostiqués (cf. let. L supra) ayant pour origine, selon elle, les faits présentés à l'appui de sa demande de protection en Suisse. Toutefois, comme relevé ci-dessus, ses motifs d'asile ne sont pas crédibles et ne sauraient avoir causé les troubles dont elle souffre. Si le Tribunal ne nie pas que la recourante a présenté à son arrivée en Suisse et présente encore des problèmes de santé, il ne saurait toutefois admettre que ceux-ci sont d'une gravité telle que l'exécution du renvoi mettrait concrètement sa vie en danger, en l'absence de traitements. Sinon, la recourante n'aurait pas consulté si tardivement - en janvier 2010, soit deux ans après son arrivée en Suisse - un spécialiste des troubles psychiques. Quant au médecin spécialiste en médecine interne consulté pour la première fois en février 2009, il a exclusivement fait état, dans son rapport du 12 janvier 2010 cité sous let. J supra, du fait que la recourante, qui souffrait d'un état de stress post-traumatique, profiterait d'une thérapie adéquate, sans en mentionner l'urgence ou l'indispensabilité (cf. ch. 4 de ce rapport: "Le pronostic sans traitement n'est pas très défavorable, bien sûr la patiente profiterait beaucoup d'une thérapie adéquate."). Au demeurant, il sied de relever que la recourante pourrait recevoir des soins adéquats dans son pays d'origine (cf. ATAF 2009/41 consid. 7.12.2).</w:t>
      </w:r>
    </w:p>
    <w:p>
      <w:r>
        <w:rPr>
          <w:b/>
        </w:rPr>
        <w:t>E. 7.5</w:t>
      </w:r>
    </w:p>
    <w:p>
      <w:r>
        <w:t>Pour ces motifs, l'exécution du renvoi doit être considérée comme raisonnablement exigible.</w:t>
      </w:r>
    </w:p>
    <w:p>
      <w:r>
        <w:rPr>
          <w:b/>
        </w:rPr>
        <w:t>E. 8</w:t>
      </w:r>
    </w:p>
    <w:p>
      <w:r>
        <w:t>Enfin, la recourante est tenue de collaborer à l'obtention de documents de voyage lui permettant de quitter la Suisse (cf. art. 8 al. 4 LAsi).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fixés à Fr. 600.-,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