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D-1207/2012 vom 23. November 2012</w:t>
      </w:r>
    </w:p>
    <w:p>
      <w:r>
        <w:t>Bundesverwaltungsgericht, 2012-11-23, DE</w:t>
      </w:r>
    </w:p>
    <w:p>
      <w:r>
        <w:rPr>
          <w:b/>
        </w:rPr>
        <w:t xml:space="preserve">Quelle: </w:t>
      </w:r>
      <w:r>
        <w:t>https://mcp.opencaselaw.ch/entscheid/bvger_D-1207_2012</w:t>
      </w:r>
    </w:p>
    <w:p>
      <w:r>
        <w:t>FR: TAF D-1207/2012 du 23 novembre 2012</w:t>
      </w:r>
    </w:p>
    <w:p>
      <w:r>
        <w:t>IT: TAF D-1207/2012 del 23 novembre 2012</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in der Regel - so auch vorliegend - endgültig (Art. 105 des Asylgesetzes vom 26. Juni 1998 [AsylG, SR 142.31]; Art. 83 Bst. d Ziff. 1 des Bundesgerichtsgesetzes vom 17. Juni 2005 [BGG, SR 173.110]).</w:t>
      </w:r>
    </w:p>
    <w:p>
      <w:r>
        <w:rPr>
          <w:b/>
        </w:rPr>
        <w:t>E. 1.2</w:t>
      </w:r>
    </w:p>
    <w:p>
      <w:r>
        <w:t>Die Beschwerde ist form- und fristgerecht eingereicht. Der Be­schwerdeführer hat am vorinstanzlichen Verfahren teilgenommen,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somit einzutreten. 2.Mit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hat in der angefochtenen Verfügung die Vorbringen des Beschwerdeführers, zum einen wegen der Teilnahme an einer Demonstration im August 2005 von den srilankischen Sicherheitsbehörden gesucht und im Mai 2006 im Rahmen einer Personenkontrolle geschlagen worden zu sein, und sich zum anderen im Juni 2008 nur durch Flucht einer Zwangsrekrutierung durch die LTTE entzogen zu haben, wegen fehlendem Kausalzusammenhang zwischen Verfolgung und Flucht als nicht asylrelevant erachtet und eine begründete Furcht vor künftiger Verfolgung verneint. 4.2 In der Beschwerde wurde unter anderem geltend gemacht, dass die LTTE im Juli 2008 nach der Flucht des Beschwerdeführers an seiner Stelle die jüngere Schwester H._______ zwangsrekrutiert habe, welche in der Folge bis zum Ende des Bürgerkrieges im Mai 2009 für die LTTE gekämpft habe und am 4. September 2010 unter Auflagen aus einem Umerziehungslager für jugendliche LTTE-Angehörige entlassen worden sei. Am 19. Mai 2009 sei sie vom IKRK besucht und registriert worden, wie sich aus dem beiliegenden Bestätigungsschreiben des IKRK vom 29. September 2009 ergebe. Die Tatsache, dass die Schwester H._______ der LTTE angehört habe, erhöhe das Risiko des Beschwerdeführers, bei einer Rückkehr nach Sri Lanka von den srilankischen Sicherheitsbehörden auch nach Beendigung des Bürgerkrieges verdächtigt zu werden, mit den LTTE in Verbindung zu stehen beziehungsweise gestanden zu haben, zumal der Beschwerdeführer aus einem Grenzort zum Vanni-Gebiet stamme, sich im Vanni-Gebiet aufgehalten und in der Schweiz um Asyl ersucht habe. 4.3 Die Einschätzung der fehlenden begründeten Furcht des Beschwerdeführers vor künftiger Verfolgung im heutigen Zeitpunkt ist zu bestätigen. Wie das BFM zutreffend festgehalten hat, wurde der Beschwerdeführer nach der Teilnahme an einer Demonstration im August 2005 bis zu seiner Ausreise im Dezember 2008, abgesehen von einer kurzzeitigen Festnahme im Mai 2006 im Rahmen einer Personenkontrolle, von den srilankischen Sicherheitsbehörden nicht behelligt. Auch in Berücksichtigung der erstmals auf Beschwerdeebene geltend gemachten Tatsache, dass die jüngere Schwester H.________ des Beschwerdeführers zwangsrekrutiert worden sei und bis zum Ende des Bürgerkrieges für die LTTE gekämpft habe, ist - unabhängig von der Frage der Glaubhaftigkeit dieses Vorbringens - ein Verfolgungsinteresse des srilankischen Staates am Beschwerdeführer, welcher nie der LTTE angehört hat, nicht ersichtlich, zumal sich die Situation nach Beendigung des Krieges in Sri Lanka wesentlich verändert hat. Aufgrund der veränderten Situation ist auch die Furcht des Beschwerdeführers, von der LTTE behelligt zu werden, nicht als begründet zu erachten. Alleine der Umstand, dass der Beschwerdeführer in der Schweiz ein Asylgesuch eingereicht hat, vermag seine Flüchtlingseigenschaft ebenfalls nicht zu begründen. In seinem Grundsatzurteil BVGE 2011/24 hat das Bundesverwaltungsgericht eine Beurteilung der aktuellen Lage in Sri Lanka vorgenommen und dabei festgehalten, gemäss weitgehend übereinstimmenden Berichten sei insgesamt von einer seit Beendigung des militärischen Konflikts zwischen der srilankischen Armee und den LTTE im Mai 2009 erheblich verbesserten Lage auszugehen. Die LTTE gälten militärisch als vernichtet und die Sicherheitslage habe sich in bedeutsamer Weise stabilisiert, auch wenn sich das Land immer noch in einem Entwicklungsprozess befinde. Indessen habe sich gleichzeitig die Menschenrechtslage namentlich hinsichtlich der Mei­nungsäusserungs- und der Pressefreiheit weiter verschlechtert. Aufgrund der aktuell in Sri Lanka herrschenden allgemeinen politischen, sicher­heits- und menschenrechtlichen Situation hat das Bundesverwaltungsgericht - im Sinne von Risikogruppen - Personenkreise definiert, deren Zugehörige heute einer erhöhten Verfolgungsgefahr unterliegen. Die Zugehörigkeit zu einer Risikogruppe im Sinne des obenstehend erwähnten Urteils ist aus den genannten Gründen nicht gegeben. 4.4 Aus den obenstehenden Erwägungen ergibt sich, dass die Vor­in­stanz die Vorbringen der Beschwerdeführenden zu Recht als nicht asylrelevant erachtet hat. Der Beschwerdeführer erfüllt somit die Voraussetzungen zur Anerkennung der Flüchtlingseigenschaft nicht, weshalb die Vorinstanz die Asylbegehren zu Recht abgelehnt hat. 5.5.1 In der Regel hat die Ablehnung eines Asylgesuchs oder das Nichtein­treten auf ein Asylgesuch die Wegweisung aus der Schweiz zur Folge. (Art. 44 Abs. 1 AsylG). Vorliegend hat der Kanton keine Aufenthaltsbewilli-gung erteilt und es besteht zudem kein Anspruch auf Erteilung einer sol­chen (BVGE 2009/50 E.9), weshalb die verfügte Wegweisung im Einklang mit den gesetzlichen Bestimmungen steht und demnach vom Bundesamt zu Recht angeordnet wurde. 5.2 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 5.3 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vorliegend in Betrachtung dieser massgebli­chen völker- und landesrechtlichen Bestimmungen zulässig, weil - wie vorstehend dargelegt - der Beschwerdeführer die Flüchtlingsei­genschaft nicht erfüllt und keine Anhaltspunkte für eine dem Be­schwer­de­fü­hrer in Sri Lanka drohende menschenrechtswid­rige Behand­lung im Sinne von Art. 3 der Konvention vom 4. November 1950 zum Schutze der Menschenrechte und Grundfreiheiten (EMRK, SR 0.101) vorliegen (Art. 83 Abs. 3 AuG). 5.4 Der Vollzug für Ausländerinnen und Ausländer erweist sich als unzu­mutbar, wenn sie im Heimat- oder Herkunftsstaat auf Grund von Situatio­nen wie Krieg, Bürgerkrieg, allgemeiner Gewalt und medizinischer Not­lage konkret gefährdet sind (Art. 83 Abs. 4 AuG). 5.4.1 In Bezug auf die allgemeine Lage in Sri Lanka kann auf die vom Bundesverwaltungsgericht vorgenommene Einschätzung der Situation im bereits erwähnten Grundsatzurteil vom 27. Oktober 2011 verwiesen werden, welche im Wesentlichen mit der Praxis der Vorinstanz übereinstimmt. Demnach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Bürgerkrieges im Mai 2009 verlassen haben, grundsätzlich zumutbar, sofern sie dort auf eine zumindest gleichwertige Wohnsituation wie vor der Ausreise zurückgreifen können (vgl. a.a.O. E. 13.2.1.1).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(vgl. a.a.O. E. 13.2.1.2). In das sogenannten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(vgl. a.a.O. E. 13.2.2). 5.4.2 Der junge, ledige Beschwerdeführer stammt zwar aus dem sogenannten Vanni-Gebiet, wo sich mit seinen Eltern und Schwestern seine engsten Familienangehörigen befinden. Er verfügt indessen über eine innerstaatliche Aufenthaltsalternative in E.______ wo er von Juni 2008 bis Dezember 2008 bei seiner Tante väterlicherseits und deren Familie auf einer Farm gelebt hat (vgl. A1 S. 2). Aufgrund der Akten lässt nichts darauf schliessen, dass diese Verwandte nicht mehr dort lebt oder nicht bereit wäre, den alleinstehenden Beschwerdeführer erneut bei sich aufzunehmen. Es ist daher davon auszugehen, dass der Beschwerdeführer in F.________ zumindest für die erste Zeit ein tragfähiges Beziehungsnetz sowie eine gesicherte Wohnsituation mit der Möglichkeit der Mitarbeit auf der Farm vorfinden wird. Im Weiteren verfügt er über eine gute Schulausbildung und es ist davon auszugehen, dass er künftig eine Existenzgrundlage für sich aufbauen kann. Daher erweist sich der Wegweisungsvollzug auch als zumutbar. 5.5 Der Wegweisungsvollzug des Beschwerdeführers in den Heimatstaat ist schliesslich möglich, da keine Vollzugshindernisse bestehen (Art. 83 Abs. 2 AuG) und es den Beschwerdeführer obliegt, bei der Beschaffung gültiger Reisepapiere mitzuwirken (Art. 8 Abs. 4 AsylG). 5.6 Zusammenfassend hat die Vorinstanz den Wegweisungsvollzug zu Recht als zulässig, zumutbar und möglich erachtet. Nach dem Gesagten fällt eine Anordnung der vorläufigen Aufnahme ausser Betracht (Art. 83 Abs. 1 - 4 AuG). 6.Aus diesen Erwägungen ergibt sich, dass die angefochtene Verfügung Bundesrecht nicht verletzt, den rechtserheblichen Sachverhalt richtig und vollständig feststellt und angemessen ist (Art. 106 AsylG). Die Beschwerde ist daher abzuweisen. 7.Bei diesem des Verfahrens sind die Kosten von Fr. 600.- (Art. 2 und 3 des Reglements vom 21. Februar 2008 über die Kosten und Entschädigungen vor dem Bundesverwaltungsgericht [VGKE,SR 173.320.2]) dem Beschwerdeführer aufzuerlegen (Art. 63 Abs. 1VwVG) und mit dem geleisteten Kostenvorschuss zu verrechnen. .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