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D-1206/2019 vom 29. Juli 2020</w:t>
      </w:r>
    </w:p>
    <w:p>
      <w:r>
        <w:t>Bundesverwaltungsgericht, 2020-07-29, DE</w:t>
      </w:r>
    </w:p>
    <w:p>
      <w:r>
        <w:rPr>
          <w:b/>
        </w:rPr>
        <w:t xml:space="preserve">Quelle: </w:t>
      </w:r>
      <w:r>
        <w:t>https://mcp.opencaselaw.ch/entscheid/bvger_D-1206_2019</w:t>
      </w:r>
    </w:p>
    <w:p>
      <w:r>
        <w:t>FR: TAF D-1206/2019 du 29 juillet 2020</w:t>
      </w:r>
    </w:p>
    <w:p>
      <w:r>
        <w:t>IT: TAF D-1206/2019 del 29 luglio 2020</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[SR 142.31]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sind die formellen Rügen zu behandeln, da sie allenfalls geeignet sein könnten, eine Kassation der vorinstanzlichen Verfügung zu bewirken.</w:t>
      </w:r>
    </w:p>
    <w:p>
      <w:r>
        <w:rPr>
          <w:b/>
        </w:rPr>
        <w:t>E. 3.2.1</w:t>
      </w:r>
    </w:p>
    <w:p>
      <w:r>
        <w:t>Der Beschwerdeführer rügt eine Verletzung des Untersuchungsgrundsatzes. Er macht geltend, seine Anhörung sei ausserordentlich kurz gewesen.</w:t>
      </w:r>
    </w:p>
    <w:p>
      <w:r>
        <w:rPr>
          <w:b/>
        </w:rPr>
        <w:t>E. 3.2.2</w:t>
      </w:r>
    </w:p>
    <w:p>
      <w:r>
        <w:t>Gemäss Art. 12 VwVG stellt die Behörde den Sachverhalt von Amtes wegen fest und bedient sich nötigenfalls der unter Buchstaben a-h aufgelisteten Beweismittel. Der Untersuchungsgrundsatz findet seine Grenze an der Mitwirkungspflicht der Asylsuchenden (Art. 8 AsylG; Art. 13 VwVG).</w:t>
      </w:r>
    </w:p>
    <w:p>
      <w:r>
        <w:rPr>
          <w:b/>
        </w:rPr>
        <w:t>E. 3.2.3</w:t>
      </w:r>
    </w:p>
    <w:p>
      <w:r>
        <w:t>Für die Dauer der einzelnen Anhörung besteht keine für die Vorin- stanz verbindliche Vorgabe. Die angemessene Dauer ist nicht anhand von starren zeitlichen Kriterien, sondern im Rahmen einer individuellen Beurteilung der dafür benötigten Zeit zu beurteilen (vgl. Urteil des BVGer D-5651/2017 vom 31. Oktober 2018). Vorliegend dauerte die Anhörung inklusive einstündiger Mittagspause und Rückübersetzung fünf Stunden und fünfundzwanzig Minuten (vgl. SEM act. A16, S. 17). Das Protokoll umfasst 117 Fragen, wobei die Vorinstanz den Beschwerdeführer mit Widersprüchen konfrontierte respektive auf Missverständnisse hinwies. Sodann hat auch die Hilfswerkvertretung keine Beobachtungen, Anmerkungen für weitere Sachverhaltsabklärungen oder Einwände zum Protokoll angebracht. Eine Verletzung der Untersuchungspflicht ist in diesem Zusammenhang nicht zu erkennen.</w:t>
      </w:r>
    </w:p>
    <w:p>
      <w:r>
        <w:rPr>
          <w:b/>
        </w:rPr>
        <w:t>E. 3.3.1</w:t>
      </w:r>
    </w:p>
    <w:p>
      <w:r>
        <w:t>Der Beschwerdeführer rügt sodann eine Verletzung des rechtlichen Gehörs. Er macht geltend, die Vorinstanz habe ihm sehr wenige vertiefende Fragen gestellt. Er sei daher nochmals anzuhören.</w:t>
      </w:r>
    </w:p>
    <w:p>
      <w:r>
        <w:rPr>
          <w:b/>
        </w:rPr>
        <w:t>E. 3.3.2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3.3.3</w:t>
      </w:r>
    </w:p>
    <w:p>
      <w:r>
        <w:t>Wie vorstehend dargelegt handelt es sich vorliegend betreffend Dauer und Anzahl Fragen um eine mit anderen Fällen vergleichbare Anhörung. Der Beschwerdeführer legt auch nicht substantiiert dar, welche weiteren vertiefenden Fragen ihm hätten gestellt werden müssen. In Anbetracht der Sachlage ergeben sich hierfür aus den Akten auch keine Hinweise, weshalb die Vorinstanz das rechtliche Gehör des Beschwerdeführers nicht verletzt hat und der Sachverhalt als vollständig festgestellt zu erachten ist. Der Antrag auf erneute Anhörung ist abzuweisen.</w:t>
      </w:r>
    </w:p>
    <w:p>
      <w:r>
        <w:rPr>
          <w:b/>
        </w:rPr>
        <w:t>E. 3.4</w:t>
      </w:r>
    </w:p>
    <w:p>
      <w:r>
        <w:t>Die formellen Rügen erweisen sich damit als unbegründet. Es besteht keine Veranlassung, die Verfügung aus formellen Gründen aufzuheben und an die Vorinstanz zurückzuweisen. Der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 2005 Nr. 21 E. 7).</w:t>
      </w:r>
    </w:p>
    <w:p>
      <w:r>
        <w:rPr>
          <w:b/>
        </w:rPr>
        <w:t>E. 5.1</w:t>
      </w:r>
    </w:p>
    <w:p>
      <w:r>
        <w:t>Die Vorinstanz lehnte das Asylgesuch mit der Begründung ab, die Vorbringen des Beschwerdeführers hielten weder den Anforderungen an die Glaubhaftigkeit gemäss Art. 7 AsylG noch jenen an die Flüchtlingseigenschaft gemäss Art. 3 AsylG stand. Wegen seiner äusserst pauschalen Ausführungen in Bezug auf die Demonstrationsteilnahmen bestünden Zweifel an diesen Vorbringen. Seine Angaben hinsichtlich des Zeitpunktes der Inhaftierung seien widersprüchlich, die Beschreibungen zur Verhaftung äusserst unsubstanziiert und die Ausführungen zum Aufenthalt im Gefängnis oberflächlich und äusserst unpräzise gewesen. Er habe deshalb nicht vermocht, die Festnahme und den Gefängnisaufenthalt glaubhaft zu machen. Zudem habe er gesagt, er sei Mitte (...) und ungefähr (...) nach seiner Entlassung aus dem Gefängnis in den D._______ ausgereist, wogegen er in der Anhörung erklärt habe, direkt nach der Entlassung in den D._______ ausgereist zu sein. Seine Verfolgung sei damit nicht glaubhaft, weshalb auch nicht davon auszugehen sei, dass seine Familienmitglieder verletzt worden seien oder sein Haus niedergebrannt worden sei. Der Beschwerdeführer habe keine politisch motivierte Verfolgung durch die äthiopischen Behörden glaubhaft machen können. Die blosse Teilnahme an zwei Kundgebungen in der Schweiz führe zu keiner Verfolgung durch die äthiopischen Behörden. Er habe sich zwar wie viele seiner Landsleute in geringem Mass exilpolitisch betätigt. Zusammenfassend sei aber festzustellen, dass die vorgebrachten subjektiven Nachfluchtgründe den Anforderungen an die Flüchtlingseigenschaft gemäss Art. 3 AsylG nicht standhielten.</w:t>
      </w:r>
    </w:p>
    <w:p>
      <w:r>
        <w:rPr>
          <w:b/>
        </w:rPr>
        <w:t>E. 5.2</w:t>
      </w:r>
    </w:p>
    <w:p>
      <w:r>
        <w:t>Der Beschwerdeführer entgegnete in der Beschwerdeschrift, dass er die Demonstrationen sehr wohl zu schildern vermocht habe. Er habe einige Details, wenn auch nicht alle, genannt. Wenn die Vorinstanz bei der Anhörung der Ansicht gewesen wäre, dass an seiner Demonstrationsteilnahme noch Zweifel bestünden, wäre es an ihr gelegen, nachzufragen und dies zu klären. Er habe auch in Bezug auf seine Inhaftierung sehr detailliert und glaubhaft ausgesagt. Es sei der angefochtenen Verfügung nicht zu entnehmen, worauf sich die Vorinstanz stütze, wenn sie nur von oberflächlichen Beschreibungen des Gefängnisses berichte. Er sei nach einer einzigen Frage zum Gefängnis nicht mehr darum gebeten worden, dieses zu beschreiben. Der Vorhalt der Vorinstanz sei daher in keiner Weise nachvollziehbar. Weiter gehe aus dem Protokoll der BzP nicht hervor, nach welchem Kalender er das Datum der Inhaftierung angegeben habe beziehungsweise ob das Datum umgerechnet worden sei oder nicht. Als er in der Anhörung auf den Widerspruch angesprochen worden sei, habe er sich an den Dolmetscher gerichtet und ihn gebeten, das Datum in den äthiopischen Kalender umzurechnen. Er (Beschwerdeführer) habe in der freien Erzählung sehr viele und auch unerwartete Details über die Zeit in der Haft genannt, welche nicht als Gemeinplätze gälten. Die Zusammenfassung seiner Aussagen, welche die Vorinstanz in der angefochtenen Verfügung vorgenommen habe, um die Unsubstantiiertheit zu begründen, entspräche nicht den von ihm gemachten Aussagen in der Anhörung. Auch der Vorhalt der Vorinstanz, er habe die Unterschiede der beiden Gefängnisse nicht zu beschreiben vermocht, treffe ins Leere, da er nur gefragt worden sei, wie sich die Haftbedingungen der beiden Gefängnisse unterschieden hätten, worauf er geantwortet habe, diese seien gleich gewesen. Dies gehe auch aus seinen Schilderungen hervor und sei auch durchaus nachvollziehbar. Er habe die chronologische Reihenfolge der Ereignisse widerspruchsfrei geschildert. So habe er in der BzP auch nicht davon gesprochen, dass er erst (...) nach seiner Entlassung ausgereist sei, er habe diese Daten in unterschiedlichem Zusammenhang an verschiedener Stelle in der BzP genannt. Aufgrund der allgemein bekannten, massiven Verschärfung des staatsinternen Vorgehens gegen Oromo, die zwischen Ende 2015 und Frühjahr 2018 stattgefunden habe, sei mit überwiegender Wahrscheinlichkeit davon auszugehen, dass die äthiopischen Behörden ihre internationale Überwachungstätigkeit während jener Zeitspanne nochmals zusätzlich intensiviert hätten. Folglich sei davon auszugehen, dass in der Schweiz - im spezifischen Kontext der Oromo - bereits politisch aktive Oromo mit geringerem politischen Profil von den äthiopischen Behörden registriert worden seien. Auch wenn allgemein von einer Verbesserung der politischen Lage in Äthiopien auszugehen sei, sei zum heutigen Zeitpunkt noch zu wenig absehbar, was mit den gesammelten Daten exilpolitischer Aktivisten geschehe beziehungsweise wie diese Daten vom Sicherheitsapparat verwendet würden. Die von Abiy Ahmed erzielten politischen Erfolge seien noch nicht nachhaltig. Das politische System in Äthiopien bleibe fragil und der Sicherheitsapparat weiterhin unberechenbar. Vor diesem Hintergrund müssten exilpolitisch aktive Personen im Rahmen der Einreise nach Äthiopien weiterhin mit erheblichen Nachteilen (Befragung, Inhaftierung, Folter) rechnen. Beim ihm sei zudem davon auszugehen, dass er der äthiopischen Regierung aufgrund seiner Inhaftierung bereits bekannt sei, was sein Gefährdungsprofil zusätzlich erhöhe.</w:t>
      </w:r>
    </w:p>
    <w:p>
      <w:r>
        <w:rPr>
          <w:b/>
        </w:rPr>
        <w:t>E. 6.1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6.2</w:t>
      </w:r>
    </w:p>
    <w:p>
      <w:r>
        <w:t>Vorliegend sprechen gewisse Elemente für die Glaubhaftigkeit der Aussagen des Beschwerdeführers und andere dagegen. Die Frage der Glaubhaftigkeit kann aber letztendlich ohnehin offengelassen werden, da die Vorbringen des Beschwerdeführers - wie nachfolgend dargelegt - den Anforderungen an die Flüchtlingseigenschaft nicht zu genügen vermögen.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ausser es bestehen triftige Gründe (vgl. BVGE 2011/50 E. 3.1.2.2).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Oromo Liberation Front (OLF), Ogaden National Liberation Front (ONLF) und Ginbot 7, die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Trotz der weiterhin herrschenden ethnischen Spannungen und Protestbewegungen in Äthiopien ist die Situation seit Amtsantritt von Premierminister Abiy Ahmed stabiler (vgl. Referenzurteil des BVGer D-6630/2018 vom 6. Mai 2019 E. 7).</w:t>
      </w:r>
    </w:p>
    <w:p>
      <w:r>
        <w:rPr>
          <w:b/>
        </w:rPr>
        <w:t>E. 7.3</w:t>
      </w:r>
    </w:p>
    <w:p>
      <w:r>
        <w:t>Vor diesem Hintergrund, insbesondere angesichts der Streichung der ONLF von der Liste der terroristischen Gruppierungen und der zwischenzeitlichen Reintegrierung zahlreicher ehemaliger ONLF-Rebellen, ist nicht davon auszugehen, dass der Beschwerdeführer als Oromo mit bescheidenem politischen Profil - angebliche Teilnahme an zwei Demonstrationen in Äthiopien- und wegen seiner darauffolgenden Inhaftierungen asylrechtlich relevanter Verfolgung ausgesetzt wäre. Aus heutiger Sicht bestehen keine Anzeichen dafür, dass er sich bei einer Rückkehr nach Äthiopien vor einer entsprechenden Verfolgung fürchten müsste. Die Vorbringen des Beschwerdeführers im vorinstanzlichen Verfahren und die Ausführungen in der Rechtsmitteleingabe vom 11. März 2019 vermögen an dieser Einschätzung nichts zu ändern. Insbesondere ist nicht von "zwingenden Gründen" im Sinne der Ausnahmebestimmung des Abkommens vom 28. Juli 1951 über die Rechtsstellung der Flüchtlinge (FK, SR 0.142.30) auszugehen (vgl. BVGE 2007/31 E. 5.4 m.w.H.).</w:t>
      </w:r>
    </w:p>
    <w:p>
      <w:r>
        <w:rPr>
          <w:b/>
        </w:rPr>
        <w:t>E. 7.4</w:t>
      </w:r>
    </w:p>
    <w:p>
      <w:r>
        <w:t>Nach dem Gesagten ist nicht davon auszugehen, dass der Beschwerdeführer im heutigen Zeitpunkt wegen seiner Inhaftierungen als Unterstützer der Sache der Oromo seitens der heimatlichen Behörden asylrechtlich relevanter Verfolgung ausgesetzt wäre. Der vom Beschwerdeführer zitierte Bericht zur Lage in Äthiopien vermag an dieser Einschätzung nichts zu ändern, zumal sich dem Bericht keine konkrete Verfolgung der Oromo durch die Regierung entnehmen lässt.</w:t>
      </w:r>
    </w:p>
    <w:p>
      <w:r>
        <w:rPr>
          <w:b/>
        </w:rPr>
        <w:t>E. 7.5</w:t>
      </w:r>
    </w:p>
    <w:p>
      <w:r>
        <w:t>Es bleibt zu prüfen, ob der Beschwerdeführer aufgrund der geltend gemachten exilpolitischen Aktivitäten bei einer Rückkehr nach Äthiopien begründete Furcht vor Verfolgung im Sinne von Art. 3 AsylG hat. 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Der Beschwerdeführer hat zweimal in der Schweiz, einmal in H._______ und einmal in I._______, an einer Demonstration für die Rechte der Oromo teilgenommen. Die diesbezüglich eingereichten Fotos lassen nicht auf ein exponierendes exilpolitisches Engagement schliessen, das ihn als ernsthaften Regimekritiker erkennen lassen würde. Es erscheint denn auch mit Blick auf die aktuelle politische Lage nach der Wahl von Abiy Ahmed, selbst Oromo, zum Premierminister (vgl. Referenzurteil D-6630/2018 E. 8) nicht wahrscheinlich, dass seitens der äthiopischen Behörden ein besonderes Interesse an der Person des Beschwerdeführers besteht und ihm als Oromo bei einer Rückkehr eine asylrechtlich relevante Verfolgung drohen würde. Die Ausführungen des Beschwerdeführers in den Rechtsmitteleingaben vermögen an dieser Einschätzung nichts zu ändern. Die Befürchtung, im Fall einer Rückkehr nach Äthiopien wegen exilpolitischer Tätigkeit flüchtlingsrechtlich relevanten Nachteilen ausgesetzt zu sein, erscheint unbegründet.</w:t>
      </w:r>
    </w:p>
    <w:p>
      <w:r>
        <w:rPr>
          <w:b/>
        </w:rPr>
        <w:t>E. 7.6</w:t>
      </w:r>
    </w:p>
    <w:p>
      <w:r>
        <w:t>Zusammenfassend ist festzuhalten, dass keine konkreten Anhaltspunkte für eine im heutigen Zeitpunkt objektiv begründete Furcht des Beschwerdeführers vor einer Verfolgung im Sinne von Art. 3 AsylG durch die äthiopischen Behörden vorliegen. Die Vorinstanz hat die Flüchtlingseigenschaft zu Recht verneint und das Asylgesuch des Beschwerdeführers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Den Akten zufolge ist ein Verfahren betreffend Anerkennung der Vaterschaft des Beschwerdeführers zum Kind G._______ hängig. Dem Schreiben des Zivilstandsamtes J._______ vom 22. Juni 2020 ist zu entnehmen, dass der angebliche Sohn des Beschwerdeführers seinen Wohnsitz in K._______ hat (vgl. Beilage zur Eingabe des Beschwerdeführers vom 22. Juni 2020). Demnach ist festzustellen, dass das Kind G._______ nicht über einen festen Aufenthaltsanspruch in der Schweiz verfügt - solches wurde im Übrigen auch nicht geltend gemacht. Folglich kann der Beschwerdeführer aus einem allfälligen Kindsverhältnis für das vorliegende Verfahren keine Rechte aus Art. 8 EMRK ableiten.</w:t>
      </w:r>
    </w:p>
    <w:p>
      <w:r>
        <w:rPr>
          <w:b/>
        </w:rPr>
        <w:t>E. 8.3</w:t>
      </w:r>
    </w:p>
    <w:p>
      <w:r>
        <w:t>Nach dem Gesagten verfügt der Beschwerdeführer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FK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Art. 4 EMRK). 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9.3.1</w:t>
      </w:r>
    </w:p>
    <w:p>
      <w:r>
        <w:t>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Oromo, zum neuen Premierminister. Dieser leitete tiefgreifende Reformen in die Wege, namentlich auch was den Umgang mit regierungskritischen Personen betrifft, gegen die das herrschende Regime bisher mit grosser Härte vorgegangen ist. Insbesondere in den ländlichen Gebieten gibt es aber nach wie vor ungelöste ethnische Konflikte, welche teilweise zu gewalttätigen Auseinandersetzungen und Vertreibungen führen (vgl. Urteil des BVGer D-7203/2017 vom 1. März 2019 E. 7.4.2 m.w.H.). Es kann jedoch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 (vgl. dazu ausführlich Urteil D-7203/2017, a.a.O., E. 7.4.2 m.w.H.). Weiter ist zu prüfen, ob der Beschwerdeführer gleichwohl aus persönlichen Gründen konkret gefährdet sein könnte.</w:t>
      </w:r>
    </w:p>
    <w:p>
      <w:r>
        <w:rPr>
          <w:b/>
        </w:rPr>
        <w:t>E. 9.3.2</w:t>
      </w:r>
    </w:p>
    <w:p>
      <w:r>
        <w:t>Die individuellen Umstände lassen vorliegend nicht auf eine konkrete Gefährdung des Beschwerdeführers im Falle seiner Rückkehr schliessen. Er ist jung und verfügt über eine verhältnismässig lange Schulbildung. Es ist ihm demnach zuzumuten, nach der Rückkehr einer beruflichen Erwerbstätigkeit nachzugehen und damit für sich sorgen zu können. Ausserdem verfügt er in Äthiopien über ein Beziehungsnetz mit seinen Eltern und einem Bruder. Auch der Umstand, dass seine (...) gegen Ende (...) in den D._______ geflohen sei, spricht selbst bei Wahrunterstellung nicht gegen die Zumutbarkeit des Wegweisungsvollzugs des Beschwerdeführers in sein Heimatland. Der Beschwerdeführer brachte in gesundheitlicher Hinsicht an der Anhörung vor, Rückenschmerzen zu haben und dafür seit seiner Ankunft in der Schweiz (...) Monate in Behandlung gewesen zu sein. Er wisse nicht, ob er von den Rückenschmerzen Lungenprobleme bekommen habe (vgl. SEM act. A16 F105).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hier - abgesehen davon, dass der Beschwerdeführer die dargelegten gesundheitlichen Beschwerden nicht durch einen ärztlichen Bericht belegt hat und diese in seiner Beschwerdeschrift gänzlich unerwähnt geblieben sind - nicht erreicht. Die vorgebrachten gesundheitlichen Beschwerden stellen demnach kein Wegweisungshindernis dar.</w:t>
      </w:r>
    </w:p>
    <w:p>
      <w:r>
        <w:rPr>
          <w:b/>
        </w:rPr>
        <w:t>E. 9.3.3</w:t>
      </w:r>
    </w:p>
    <w:p>
      <w:r>
        <w:t>Nach dem Gesagten erweist sich der Vollzug der Wegweisung sowohl allgemein als auch in individueller Hinsicht als zumutbar.</w:t>
      </w:r>
    </w:p>
    <w:p>
      <w:r>
        <w:rPr>
          <w:b/>
        </w:rPr>
        <w:t>E. 9.4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15. März 2019 die unentgeltliche Prozessführung gemäss Art. 65 Abs. 1 VwVG gewährt wurde und keine massgebenden Veränderungen der finanziellen Verhältnisse ersichtlich sind, sind keine Verfahrenskosten zu erheben.</w:t>
      </w:r>
    </w:p>
    <w:p>
      <w:r>
        <w:rPr>
          <w:b/>
        </w:rPr>
        <w:t>E. 11.2</w:t>
      </w:r>
    </w:p>
    <w:p>
      <w:r>
        <w:t>Mit derselben Verfügung hiess die Instruktionsrichterin das Gesuch um amtliche Rechtsverbeiständung gestützt auf aArt. 110a Abs. 1 AsylG gut und ordnete dem Beschwerdeführer die rubrizierte Rechtsvertreterin als amtliche Rechtsbeiständin bei. Demnach ist dieser ein Honorar für ihre notwendigen Ausgaben im Beschwerdeverfahren auszurichten. Die Rechtsvertreterin reichte keine Kostennote zu den Akten. Auf entsprechende Nachforderung kann verzichtet werden, da sich die Vertretungskosten aufgrund der Akten abschätzen lassen (Art. 14 Abs. 2 VGKE). Bei amtlicher Vertretung wird in der Regel von einem Stundenansatz von Fr. 100.- bis Fr. 150.- für nicht-anwaltliche Rechtsvertreter und Rechtsvertreterinnen ausgegangen (vgl. Art. 12 i.V.m. Art. 10 Abs. 2 VGKE, Zwischenverfügung vom 15. März 2019). Der amtlichen Vertreterin ist durch das Bundesverwaltungsgericht ein Honorar gestützt auf die in Betracht zu ziehenden Bemessungsfaktoren (Art. 9-13 VGKE) und unter Berücksichtigung der Entschädigungspraxis in vergleichbaren Fällen in der Höhe von Fr. 1'050.-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