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D-11/2022 vom 1. Dezember 2021</w:t>
      </w:r>
    </w:p>
    <w:p>
      <w:r>
        <w:t>Bundesverwaltungsgericht, 2021-12-01, DE</w:t>
      </w:r>
    </w:p>
    <w:p>
      <w:r>
        <w:rPr>
          <w:b/>
        </w:rPr>
        <w:t xml:space="preserve">Quelle: </w:t>
      </w:r>
      <w:r>
        <w:t>https://mcp.opencaselaw.ch/entscheid/bvger_D-11_2022_d20211201</w:t>
      </w:r>
    </w:p>
    <w:p>
      <w:r>
        <w:t>FR: TAF D-11/2022 du 1 décembre 2021</w:t>
      </w:r>
    </w:p>
    <w:p>
      <w:r>
        <w:t>IT: TAF D-11/2022 del 1 dicembre 2021</w:t>
      </w:r>
    </w:p>
    <w:p>
      <w:pPr>
        <w:pStyle w:val="Heading2"/>
      </w:pPr>
      <w:r>
        <w:t>Regeste</w:t>
      </w:r>
    </w:p>
    <w:p>
      <w:r>
        <w:t>Asyl (ohne Wegweisungsvollzug) | Asyl (ohne Wegweisungsvollzug); Verfügung des SEM vom 1.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Gegenstand des vorliegenden Verfahrens bilden die Fragen der Flücht-</w:t>
      </w:r>
    </w:p>
    <w:p>
      <w:r>
        <w:t>D-11/2022 Seite 5 lingseigenschaft, des Asyls und der verfügten Wegweisung. Der Wegwei- sungsvollzug ist nicht mehr zu prüfen, nachdem die Vorinstanz den Be- schwerdeführer wegen Unzumutbarkeit des Wegweisungsvollzugs vorläu- fig aufgenommen hat.</w:t>
      </w:r>
    </w:p>
    <w:p>
      <w:r>
        <w:rPr>
          <w:b/>
        </w:rPr>
        <w:t>E. 3</w:t>
      </w:r>
    </w:p>
    <w:p>
      <w:r>
        <w:t>Die Kognition des Bundesverwaltungsgerichts und die zulässigen Rügen richten sich im Asylbereich nach Art. 106 Abs. 1 AsylG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5.1</w:t>
      </w:r>
    </w:p>
    <w:p>
      <w:r>
        <w:t>Das SEM hielt zur Begründung seiner Verfügung fest, es verkenne die seit langer Zeit sehr schwierige Sicherheitslage im Heimatsstaat des Be- schwerdeführers nicht. Der Überfall auf ihn sei jedoch als Ausfluss der schlechten allgemeinen Sicherheitslage in Afghanistan, beziehungsweise am Wohnort in Herat einzuordnen, die jede Person gleich treffen würde, weshalb sie der mangelnden Gezieltheit zufolge flüchtlingsrechtlich nicht relevant seien. Weder den Akten noch seinen Aussagen könnten konkrete Anhaltspunkte dafür entnommen werden, dass dem geltend gemachten Angriff auf ihn eine flüchtlingsrechtlich relevante Motivation im Sinne von Art. 3 Abs. 1 AsylG zugrunde gelegen habe. Er habe selbst ausgeführt, die</w:t>
      </w:r>
    </w:p>
    <w:p>
      <w:r>
        <w:t>D-11/2022 Seite 6 Angreifer nicht erkannt zu haben, wobei er davon ausgehen würde, dass es sich um Kriminelle handle, die solche Angriffe auf andere Personen re- gelmässig ausüben würden. Auch seien gemäss seinen Aussagen solche Angriffe öfters vorgekommen. Ausser diesem Vorfall habe er bis zur defini- tiven Ausreise keine weiteren Probleme mit Drittpersonen gehabt. Ab- schliessend sei anzumerken, dass er – indem er den angeführten Angriff von Seiten von Unbekannten nicht den lokalen Polizeibehörden gemeldet habe – eine Aufklärung des Vorfalls verunmöglicht habe. Weiter sei bezüglich der Möglichkeit der Zwangsrekrutierung durch die Ta- liban festzuhalten, dass diese oft nicht aus einem der in Art. 3 AsylG er- wähnten Gründen erfolge. Bei einer Weigerung zum Beitritt sei in der Regel nicht von einer begründeten Furcht vor zukünftiger asylrelevanter Verfol- gung auszugehen, da die jungen Männer nicht als der Taliban-Ideologie Oppositionelle betrachtet würden. Davon ausgehend, und weil er persön- lich keine konkreten Rekrutierungsversuche geltend mache, sei dieses Vorbringen nicht flüchtlingsrechtlich relevant. Bezüglich seines Vorbringens, er habe sich als ethnischer Tadschike und Schiite in Herat nicht mehr sicher gefühlt, könne ihm nicht gefolgt werden. Gemäss dem SEM vorliegenden Informationen würden die Dari-sprachi- gen Farsiwan und Tadschiken etwa 85% der Bevölkerung Herats ausma- chen, wobei die Schiiten in Herat eine relativ zahlreiche Minderheit bilden würden, die mehrheitlich spannungsfrei mit der sunnitischen Mehrheit zu- sammenlebe. Auch wenn es punktuell und individuell zu Spannungen kom- men könne, so würden dem SEM keine Information betreffend eine syste- matische Diskriminierung der Schiiten in Herat vorliegen. Sodann habe er auch nicht geltend gemacht, persönlich und gezielt Verfolgungsmassnah- men ausgesetzt gewesen zu sein. Vielmehr bringe er vor, die allgemeine Situation für Gruppen von Gläubigen sei in seiner Wohnregion schwierig, wie die Anschläge auf Schulen und Moscheen aufzeigen würden. Auch im Lichte der aktuellen Lage würden dem SEM zum jetzigen Zeitpunkt hinrei- chende Hinweise fehlen, dass er einer Personengruppe angehöre, die auf- grund ihrer Rasse, Religion, Nationalität, sozialen Status oder politischen Anschauungen von den Taliban grundsätzlich verfolgt werde. Entspre- chende Länderinformationen, die auf eine Kollektivverfolgung als Person schiitischen Glaubens hindeuten würden, würden nicht vorliegen. Die schwierigen Lebensumstände im Iran und die erlittenen Nachteile auf der Durchreise in die Schweiz würden keine asylrelevanten Benachteiligungen darstellen. Demzufolge erfülle er die Flüchtlingseigenschaft nicht.</w:t>
      </w:r>
    </w:p>
    <w:p>
      <w:r>
        <w:t>D-11/2022 Seite 7</w:t>
      </w:r>
    </w:p>
    <w:p>
      <w:r>
        <w:rPr>
          <w:b/>
        </w:rPr>
        <w:t>E. 5.2</w:t>
      </w:r>
    </w:p>
    <w:p>
      <w:r>
        <w:t>In seiner Rechtsmitteleingabe hielt der Beschwerdeführer fest, seine Schilderungen würden äusserst detailliert und schlüssig ausfallen sowie verschiedene Realkennzeichen enthalten. Auch die Vorinstanz ziehe die Glaubhaftigkeit des vorgebrachten Überfalls nicht in Zweifel, weshalb von dessen Glaubhaftigkeit auszugehen sei. Entgegen der Ansicht der Vorinstanz handle es sich bezüglich der Über- griffe nicht um ein gemeinrechtliches Verbrechen, sondern um einen ge- zielten Angriff gegen den Beschwerdeführer im Sinne einer Reflexverfol- gung. In diesem Zusammenhang seien die Ausführungen in der Be- schwerde seiner Mutter zu berücksichtigten, auf die vollumfänglich verwie- sen werde. Weiter sei in Betracht zu ziehen, dass er als schiitischer Glau- bensangehöriger Repressionen seitens der Taliban zu befürchten habe. Unter Berücksichtigung aller Umstände sei in casu von einer gezielten und ausreichend intensiven asylrelevanten Verfolgung gemäss Art. 3 AsylG auszugehen. Er sei als Flüchtling anzuerkennen und ihm sei in der Schweiz Asyl zu gewähren. Im Falle einer koordinierten Rückweisung der Sache an die Vorinstanz seien weitere Abklärungen zur Situation von Schiiten in He- rat seit der Machtübernahme der Taliban zwingend.</w:t>
      </w:r>
    </w:p>
    <w:p>
      <w:r>
        <w:rPr>
          <w:b/>
        </w:rPr>
        <w:t>E. 5.3</w:t>
      </w:r>
    </w:p>
    <w:p>
      <w:r>
        <w:t>In seiner Vernehmlassung hielt das SEM fest, es ziehe die Glaubhaf- tigkeit der Vorbringen des Beschwerdeführers nicht in Zweifel. Hingegen habe das SEM in der angefochtenen Verfügung ausgeführt, weshalb diese Vorbringen keine flüchtlingsrechtliche Relevanz hätten. Entgegen den Aus- führungen des Beschwerdeführers schliesse das SEM jedoch (mit Verweis auf das Dossier seiner Mutter) aus, dass es sich vorliegend um einen Akt der Reflexverfolgung handle. Die Übergriffe auf den Beschwerdeführer würden keine flüchtlingsrechtliche Relevanz entfalten. An dieser Feststel- lung vermöge auch die Fotografie, welche Narben auf seinem Körper als Folge des angeführten Übergriffs aufzeigen solle, nichts zu ändern, zumal dieses keine weitergehenden Hinweise auf eine gezielte flüchtlingsrecht- lich relevante Verfolgung im Sinne von Art. 3 AsylG aufweise. Hinsichtlich der geltend gemachten Verfolgung durch die Taliban aufgrund seines schiitischen Glaubens habe der Beschwerdeführer keine stichhalti- gen Argumente vorgebracht, die die Einschätzung des SEM in diesem Punkt ändern würde. Es erstaune zudem, dass die Verfügung betreffend seinen Vater nicht angefochten worden sei, zumal dieser ebenfalls vorge- bracht habe, dem schiitischen Glauben anzugehören, wogegen der Be- schwerdeführer seinerseits den schiitischen Glauben als vermeintlichen Gefährdungsmoment ins Feld führe.</w:t>
      </w:r>
    </w:p>
    <w:p>
      <w:r>
        <w:t>D-11/2022 Seite 8</w:t>
      </w:r>
    </w:p>
    <w:p>
      <w:r>
        <w:rPr>
          <w:b/>
        </w:rPr>
        <w:t>E. 6.1</w:t>
      </w:r>
    </w:p>
    <w:p>
      <w:r>
        <w:t>Nach Durchsicht der Akten kommt das Gericht zum Schluss, dass sich die geltend gemachte Verfolgung des Beschwerdeführers als nicht flücht- lingsrechtlich relevant erweist. Die diesbezügliche Einschätzung der Vor- instanz in der angefochtenen Verfügung ist zu bestätigen. Zur Vermeidung von Wiederholungen kann auf die Erwägungen im angefochtenen Ent- scheid verwiesen werden. Das Gericht zieht zur Beurteilung die Dossiers der Mutter sowie des Vaters des Beschwerdeführers bei.</w:t>
      </w:r>
    </w:p>
    <w:p>
      <w:r>
        <w:rPr>
          <w:b/>
        </w:rPr>
        <w:t>E. 6.2</w:t>
      </w:r>
    </w:p>
    <w:p>
      <w:r>
        <w:t>Das Gericht geht davon aus, dass es sich vorliegend um Übergriffe von privaten Kriminellen gehandelt hat. Der Beschwerdeführer hat bestätigt, nicht zu wissen, wer ihn verfolgt hat, wobei er lediglich aufgrund ihres Aus- sehens vermutete, dass dieser Überfall von den Taliban verübt worden sei (vgl. Anhörung F67 und F82). Er vermag somit seine subjektiven Befürch- tungen, im Heimatstaat im Fall einer Rückkehr von den Taliban gezielt ver- folgt zu werden, nicht substanziell zu konkretisieren. Hätten diese tatsäch- lich ein aktuelles und grosses Interesse an ihm gehabt, wäre anzunehmen gewesen, dass sie sich ebenfalls an seinen Vater gewandt hätten, wobei sich dieser regelmässig ausserhalb des Hauses aufgehalten hatte. Auch gab der Beschwerdeführer zu Protokoll, dass keine weiteren Angriffe auf seine Verwandten verübt worden seien (vgl. Anhörung F115). Zudem hät- ten die Angreifer den Beschwerdeführer, der sich nach dem Vorfall zwei Monate zuhause aufgehalten hatte (vgl. Anhörung F96), auch dort ausfin- dig machen können. Ausser dem Hinweis auf die Vermummung und die langen Bärte bestehen keine Anhaltspunkte und somit nicht genügend Hin- weise, die auf die Identität der Angreifer als Taliban schliessen lassen wür- den. Auch vor dem Hintergrund des damaligen Länderkontexts (vgl. nach- folgend) kann der Vorinstanz gefolgt werden, wenn sie davon ausgeht, es handle sich bei den Urhebern des Vorfalls um Kriminelle.</w:t>
      </w:r>
    </w:p>
    <w:p>
      <w:r>
        <w:rPr>
          <w:b/>
        </w:rPr>
        <w:t>E. 6.3</w:t>
      </w:r>
    </w:p>
    <w:p>
      <w:r>
        <w:t>Die Flüchtlingseigenschaft setzt bei einer Verfolgung durch Private vo- raus, dass der geltend gemachten Verfolgung oder der staatlichen Schutz- verweigerung ein flüchtlingsrechtlich relevantes Motiv gemäss Art. 3 Abs. 1 AsylG (Rasse, Religion, Nationalität, Zugehörigkeit zu einer bestimmten sozialen Gruppe, politische Anschauungen) zugrunde liegt (vgl. Urteil des BVGer D-2002/2020 vom 3. Dezember 2021 E. 6.7).</w:t>
      </w:r>
    </w:p>
    <w:p>
      <w:r>
        <w:rPr>
          <w:b/>
        </w:rPr>
        <w:t>E. 6.4</w:t>
      </w:r>
    </w:p>
    <w:p>
      <w:r>
        <w:t>Aus dem Überfall und dem Raub seines Motorrads sowie des Mobilte- lefons lässt sich seitens der Unbekannten kein Motiv gemäss Art. 3 AsylG erkennen. Vielmehr erscheinen die Übergriffe auf den Beschwerdeführer</w:t>
      </w:r>
    </w:p>
    <w:p>
      <w:r>
        <w:t>D-11/2022 Seite 9 angesichts fehlender Hinweise auf ein anderweitiges Motiv im damaligen Länderkontext krimineller Natur.</w:t>
      </w:r>
    </w:p>
    <w:p>
      <w:r>
        <w:rPr>
          <w:b/>
        </w:rPr>
        <w:t>E. 6.4.1</w:t>
      </w:r>
    </w:p>
    <w:p>
      <w:r>
        <w:t>Zunächst lässt bereits der im Kontext der schwierigen allgemeinen Situation in seiner Heimat verübte Angriff auf einen kriminellen Akt schlies- sen. Denn in der Stadt Herat erwies sich die verbreitete Kriminalität zur Zeit der geltend gemachten Ereignisse als ernsthaftes Problem. So kam es re- gelmässig zu Raubüberfällen, Diebstählen, Schutzgelderpressungen und häufig zu Entführungen. Die rasant gestiegene Kriminalität führte auch dazu, dass namentlich jüngere Stadtbewohner nachts bewaffnet durch ein- zelne Stadtbezirke patrouillierten, um präventiv kriminelle Akte zu unterbin- den (vgl. Referenzurteil des BVGer D-4705/2016 vom 14. Juni 2021 E. 10.4; Urteil des BVGer D-3124/2017 vom 10. April 2018 E. 4.4). Dieser Kontext wird denn auch durch die Aussagen des Beschwerdeführers be- stätigt: «In Afghanistan wagen es die Leute nicht, sich neue Kleider zu kau- fen. Wenn Entführer jemanden gepflegt und mit sauberen Kleidern auf der Strasse bemerken, entführen sie ihn» (vgl. Anhörung F67). Weiter erklärte er, solche Gewalt sei «üblich» und sei immer wieder vorgekommen (vgl. Anhörung F90). Sie hätten ihn verletzt, «weil ich zwei wertvolle Sa- chen hatte, die ich mir mit tausend Mühen gekauft hatte» (vgl. Anhörung F67). Gefragt nach der Absicht der Täter gab er zu Protokoll, «sie wollten mir mein Handy und mein Motorrad stehlen» (vgl. Anhörung F88), was ebenso auf ein rein monetäres Interesse seitens der Angreifer hindeutet.</w:t>
      </w:r>
    </w:p>
    <w:p>
      <w:r>
        <w:rPr>
          <w:b/>
        </w:rPr>
        <w:t>E. 6.4.2</w:t>
      </w:r>
    </w:p>
    <w:p>
      <w:r>
        <w:t>Im damaligen Länderkontext wäre es dem Beschwerdeführer auch individuell zuzumuten gewesen, den Überfall bei den Behörden anzuzei- gen. Die Sicherheitskräfte, namentlich die afghanische Polizei, waren in der Stadt Herat im Vergleich zu den umliegenden Gebieten relativ stark präsent. Sie sicherten die Stadt dadurch, dass sie regelmässig in deren Aussenbezirken patrouillierten und Checkpoints bei den Stadtzugängen er- richteten, um eine Infiltrierung feindlicher Kräfte aus den umliegenden Dis- trikten zu unterbinden (vgl. Referenzurteil D-4705/2016 E. 10.4). Es ist demnach nicht ersichtlich, weshalb der Beschwerdeführer keine Bemühun- gen unternommen hat, sich bei den Behörden zu melden, insbesondere da es sich bei seinen Angreifern um feindliche Taliban gehandelt haben soll. Selbst wenn sich die Behörden mangels verwertbarer Angaben des Be- schwerdeführers zu den ihm unbekannten Tätern nur mässig für die Sache interessiert hätten oder der Täter – wie der Beschwerdeführer vorbringt – nach kurzer Zeit wieder freigelassen worden wäre (vgl. Anhörung F97), würde einer Schutzverweigerung noch kein ethnisch-religiöses Motiv zu- grunde liegen (vgl. Urteil D-3124/2017 E. 4.4).</w:t>
      </w:r>
    </w:p>
    <w:p>
      <w:r>
        <w:t>D-11/2022 Seite 10</w:t>
      </w:r>
    </w:p>
    <w:p>
      <w:r>
        <w:rPr>
          <w:b/>
        </w:rPr>
        <w:t>E. 6.5</w:t>
      </w:r>
    </w:p>
    <w:p>
      <w:r>
        <w:t>Schliesslich hat auch das SEM zu Recht darauf hingewiesen, dass der Beschwerdeführer aus der allgemeinen schwierigen Sicherheitslage in Af- ghanistan, die sich nach der Machtübernahme der Taliban im August 2021 stark verschlechtert hat (vgl. Urteil des BVGer D-2511/2021 vom 8. Feb- ruar 2022 E. 8.3), im heutigen Zeitpunkt keine flüchtlingsrechtlich relevante Verfolgung ableiten kann. Denn die aktuelle Lage entfaltet keine Asylrele- vanz, solange keine konkret gegen ihn gerichteten Nachteile ersichtlich sind. Der Beschwerdeführer gehört weder einer Gruppe von Personen an, die derzeit kollektiv einer Verfolgungsgefahr ausgesetzt wären, noch hat er eine konkrete Zwangsrekrutierung durch die Taliban geltend gemacht.</w:t>
      </w:r>
    </w:p>
    <w:p>
      <w:r>
        <w:rPr>
          <w:b/>
        </w:rPr>
        <w:t>E. 6.6</w:t>
      </w:r>
    </w:p>
    <w:p>
      <w:r>
        <w:t>Zusammenfassend ergibt sich, dass keine asylrechtlich relevanten Ver- folgungsgründe ersichtlich sind, weshalb die Vorinstanz zu Recht die Flüchtlingseigenschaft des Beschwerdeführers verneint und sein Asylge- 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7.3</w:t>
      </w:r>
    </w:p>
    <w:p>
      <w:r>
        <w:t>Abschliessend ist festzuhalten, dass sich aus den vorstehenden Erwä- gungen nicht der Schluss ergibt, der Beschwerdeführer sei zum heutigen Zeitpunkt angesichts der Entwicklungen in Afghanistan nicht gefährdet. In- dessen ist eine solche Gefährdungslage unter dem Aspekt von Art. 83 Abs. 4 AIG einzuordnen, wonach der Vollzug für Ausländerinnen und Aus- länder unzumutbar sein kann, wenn sie im Heimat- oder Herkunftsstaat auf Grund von Situationen wie Krieg, Bürgerkrieg, allgemeiner Gewalt und me- dizinischer Notlage konkret gefährdet sind. Der generellen Gefährdung aufgrund der aktuellen Situation wurde durch die Vorinstanz mit der Anord- nung der vorläufigen Aufnahme wegen Unzumutbarkeit des Wegweisungs- vollzugs Rechnung getragen.</w:t>
      </w:r>
    </w:p>
    <w:p>
      <w:r>
        <w:rPr>
          <w:b/>
        </w:rPr>
        <w:t>E. 8</w:t>
      </w:r>
    </w:p>
    <w:p>
      <w:r>
        <w:t>Aus diesen Erwägungen ergibt sich, dass die angefochtene Verfügung</w:t>
      </w:r>
    </w:p>
    <w:p>
      <w:r>
        <w:t>D-11/2022 Seite 11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 deführer aufzuerlegen (Art. 63 Abs. 1 VwVG; Art. 1-3 des Reglements vom 21. Februar 2008 über die Kosten und Entschädigungen vor dem Bundes- verwaltungsgericht [VGKE, SR 173.320.2]). Nachdem das Gesuch um Ge- währung der unentgeltlichen Prozessführung mit Zwischenverfügung vom 7. Januar 2022 gutgeheissen wurde und es keine Hinweise auf eine mas- sgebliche zwischenzeitliche Veränderung gibt, sind jedoch keine Kosten aufzuerlegen.</w:t>
      </w:r>
    </w:p>
    <w:p>
      <w:r>
        <w:rPr>
          <w:b/>
        </w:rPr>
        <w:t>E. 9.2</w:t>
      </w:r>
    </w:p>
    <w:p>
      <w:r>
        <w:t>Das Bundesverwaltungsgericht bestellt auf Antrag der asylsuchenden Person, die von der Bezahlung der Verfahrenskosten befreit wurde, grund- sätzlich eine amtliche Rechtsbeiständin oder einen amtlichen Rechtsbei- stand (Art. 65 Abs. 1 VwVG i.V.m. Art. 102m Abs. 1 Bst. a AsylG). Somit ist das am 7. Januar 2022 nachträglich gestellte Gesuch um Beiordnung der rubrizierten Rechtsvertreterin, die die entsprechenden persönlichen Vo- raussetzungen erfüllt, antragsgemäss gutzuheissen. Praxisgemäss wird die unentgeltliche Rechtspflege erst ab dem Zeitpunkt der Gesuchstellung gewährt, falls das entsprechende Gesuch nicht zusammen mit der Be- schwerdeerhebung erfolgt (vgl. MOSER/BEUSCH/KNEUBÜHLER, Prozessie- ren vor dem Bundesverwaltungsgericht, 2. Aufl. 2013, Rz. 4.100)</w:t>
      </w:r>
    </w:p>
    <w:p>
      <w:r>
        <w:rPr>
          <w:b/>
        </w:rPr>
        <w:t>E. 9.3</w:t>
      </w:r>
    </w:p>
    <w:p>
      <w:r>
        <w:t>Vorliegend wurde das Gesuch um unentgeltliche Rechtsverbeistän- dung nachträglich mit Beschwerdeergänzung vom 7. Januar 2022 gestellt und damit ab diesem Zeitpunkt zu gewähren. Nach dem Gesagten ist das amtliche Honorar aufgrund der Aktenlage, der massgebenden Bemes- sungsfaktoren (Art. 12 i.V.m. Art. 9-11 VGKE) und des praxisgemässen Stundenansatzes (vgl. Art. 12 i.V.m. Art. 10 Abs. 2 VGKE) auf insgesamt Fr. 100.– (inkl. Auslagen und Mehrwertsteuerzuschlag im Sinne von Art. 9 Abs. 1 Bst. c VGKE) festzusetzen. (Dispositiv nächste Seite)</w:t>
      </w:r>
    </w:p>
    <w:p>
      <w:r>
        <w:t>D-11/2022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