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D-1199/2013 vom 13. Dezember 2013</w:t>
      </w:r>
    </w:p>
    <w:p>
      <w:r>
        <w:t>Bundesverwaltungsgericht, 2013-12-13, DE</w:t>
      </w:r>
    </w:p>
    <w:p>
      <w:r>
        <w:rPr>
          <w:b/>
        </w:rPr>
        <w:t xml:space="preserve">Quelle: </w:t>
      </w:r>
      <w:r>
        <w:t>https://mcp.opencaselaw.ch/entscheid/bvger_D-1199_2013</w:t>
      </w:r>
    </w:p>
    <w:p>
      <w:r>
        <w:t>FR: TAF D-1199/2013 du 13 décembre 2013</w:t>
      </w:r>
    </w:p>
    <w:p>
      <w:r>
        <w:t>IT: TAF D-1199/2013 del 13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Abs. 1 VwVG). Auf die Beschwerde ist einzutreten.</w:t>
      </w:r>
    </w:p>
    <w:p>
      <w:r>
        <w:rPr>
          <w:b/>
        </w:rPr>
        <w:t>E. 1.4</w:t>
      </w:r>
    </w:p>
    <w:p>
      <w:r>
        <w:t>Die Beschwerde ist im Verfahren einzelrichterlicher Zuständigkeit mit Zustimmung eines zweiten Richters oder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 Februar 2013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4.3</w:t>
      </w:r>
    </w:p>
    <w:p>
      <w:r>
        <w:t>In der am 15. Juli 2013 eingereichte Kostennote wird ein zeitlicher Vertretungsaufwand von 7.75 Stunden zu einem Ansatz von Fr. 200.- sowie Auslagen von Fr. 21.- ausgewiesen. Dies erscheint unter Berücksichtigung des Umfangs und der Schwierigkeit des vorliegenden Verfahrens als angemessen. Das BFM hat dem Beschwerdeführer demnach eine Parteientschädigung in der Höhe von Fr. 1'571.- (inklusive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