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D-1195/2022 vom 22. April 2024</w:t>
      </w:r>
    </w:p>
    <w:p>
      <w:r>
        <w:t>Bundesverwaltungsgericht, 2024-04-22, FR</w:t>
      </w:r>
    </w:p>
    <w:p>
      <w:r>
        <w:rPr>
          <w:b/>
        </w:rPr>
        <w:t xml:space="preserve">Quelle: </w:t>
      </w:r>
      <w:r>
        <w:t>https://mcp.opencaselaw.ch/entscheid/bvger_D-1195_2022</w:t>
      </w:r>
    </w:p>
    <w:p>
      <w:r>
        <w:t>FR: TAF D-1195/2022 du 22 avril 2024</w:t>
      </w:r>
    </w:p>
    <w:p>
      <w:r>
        <w:t>IT: TAF D-1195/2022 del 22 aprile 2024</w:t>
      </w:r>
    </w:p>
    <w:p>
      <w:pPr>
        <w:pStyle w:val="Heading2"/>
      </w:pPr>
      <w:r>
        <w:t>Regeste</w:t>
      </w:r>
    </w:p>
    <w:p>
      <w:r>
        <w:t>Asile et renvoi (demande multiple)</w:t>
      </w:r>
    </w:p>
    <w:p>
      <w:pPr>
        <w:pStyle w:val="Heading2"/>
      </w:pPr>
      <w:r>
        <w:t>Erwägungen</w:t>
      </w:r>
    </w:p>
    <w:p>
      <w:r>
        <w:rPr>
          <w:b/>
        </w:rPr>
        <w:t>E. 4</w:t>
      </w:r>
    </w:p>
    <w:p>
      <w:r>
        <w:t>février 2022, point II.1 à II.3, p. 2 s., point IV, p. 4 s., et point V.2, p. 7) et s’est déterminé sur les requêtes procédurales qu’il a formulées (cf. décision querellée du 4 février 2022, point IV, p. 5, en lien avec les ch. 7 et 8 du dispositif, p. 9),</w:t>
      </w:r>
    </w:p>
    <w:p>
      <w:r>
        <w:t>D-1195/2022 Page 6 qu’il apparaît en outre que le SEM disposait de tous les éléments de fait nécessaires pour se prononcer ; qu’il n’était ainsi pas indispensable qu’il procède à de nouveaux éclaircissements, que de surcroît, le recours n’apporte aucun élément inédit, que dans cette mesure, rien n’indique qu’une mesure d’instruction complémentaire aurait été nécessaire, les faits ayant été entièrement exposés par le recourant (cf. en ce sens E-3195/2020 consid. 3.2), que pour le reste, le recourant conteste en réalité l’appréciation matérielle que le SEM a faite de ses déclarations ; que cette question relève du fond, de sorte que les éléments soulevés seront examinés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w:t>
      </w:r>
    </w:p>
    <w:p>
      <w:r>
        <w:t>D-1195/2022 Page 7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à l’appui de sa demande multiple, a, dans un premier temps, repris les motifs invoqués à l’appui de sa demande d’asile du 3 mai 2017, respectivement de sa demande multiple (recte : demande de réexamen qualifié ; cf. décision incidente D-2646/2021 du 15 juin 2021) du 12 janvier 2021, qu’il a déposé des moyens de preuve déjà produits, en particulier des impressions de publications sur les réseaux sociaux, dont certaines photos de lui torse nu afin d’illustrer un tatouage, que ces allégations et moyens de preuve ont déjà été pris en considération tant par le SEM que par le Tribunal, de sorte que, faute d’éléments nouveaux déterminants à leur sujet, il n’y a pas lieu d’y revenir, qu’il convient de rappeler que la demande multiple n’a pas pour fonction de permettre une nouvelle appréciation de faits déjà invoqués et appréciés dans de précédentes procédures (cf. en ce sens, arrêt du Tribunal D-136/2024 du 1er mars 2024 consid. 3.2), qu’à titre de fait nouveau postérieur à l’arrêt du 15 juillet 2021, l’intéressé a soutenu être recherché dans son pays par la Division des enquêtes sur le terrorisme en vertu du PTA, qu’il a produit à cet égard deux nouveaux moyens de preuve, à savoir la copie d’une convocation de la police sri-lankaise, datée du (…), relative à « ses activités politiques considérées comme terroristes par les autorités », adressée à sa mère, et une vidéo montrant deux policiers à moto s’adressant à une personne, censée être sa mère,</w:t>
      </w:r>
    </w:p>
    <w:p>
      <w:r>
        <w:t>D-1195/2022 Page 8 qu’il a également déposé une vidéo montrant des publications sur les réseaux sociaux ainsi qu’un ticket du centre médico-psychologique de B._______ fixant un rendez-vous au (…), que, comme relevé à juste titre par le SEM, l’allégation de l’intéressé selon laquelle il serait recherché dans son pays sur la base du PTA ne constitue qu’une simple affirmation qu’aucun élément quelque peu concret ni moyen de preuve déterminant ne viennent étayer, que la convocation précitée – déposée au demeurant sous la seule forme d’une copie – est adressée à sa mère et ne mentionne d’aucune manière l’intéressé, qu’elle émanerait de surcroît de la (…) et concernerait la réception illégale d'argent ou de biens du gouvernement, qu’elle n’aurait donc aucun lien avec le PTA, que les explications du recourant à ce sujet, selon laquelle les autorités sri- lankaises auraient la crainte que des fonds acquis illicitement servent à recréer les LTTE (cf. mémoire de recours, p. 3) sont sans fondement et n’emportent clairement pas la conviction du Tribunal, que par ailleurs, en l’absence notamment de toute traduction fiable, aucune conclusion ne peut être tirée de la vidéo montrant apparemment deux policiers qui s’adresseraient à la mère du recourant, nonobstant les affirmations péremptoires du recourant à ce sujet (cf. idem), qu’enfin, comme déjà relevé dans les précédentes procédures, même à supposer que le recourant ait pu déployer une certaine activité critique envers le gouvernement sur un réseau social, il n’a pas rendu hautement vraisemblable que les autorités sri-lankaises en aient eu connaissance et qu’elles aient pu l’identifier formellement comme en étant l’auteur ni a fortiori qu’elles puissent estimer qu’il a un profil politique particulier, qui le mettrait concrètement en danger en cas de retour dans son pays d’origine (cf. également décisions incidentes D-5264/2020 du 28 octobre 2020 et D-2646/2021 du 1er juillet 2021), qu’il s’ensuit que sa crainte d'être exposé à une persécution ciblée contre sa personne n’est manifestement pas objectivement fondée,</w:t>
      </w:r>
    </w:p>
    <w:p>
      <w:r>
        <w:t>D-1195/2022 Page 9 que pour le reste, il convient de renvoyer à la décision attaquée, celle-ci étant à cet égard suffisamment motivée (art. 109 al. 3 LTF, par renvoi de l’art. 4 PA), le recours ne comportant pas de critique fondée, les arguments du recourant, pour l’essentiel purement appellatoires, n’étant pas susceptibles d’en remettre en cause le bien-fondé, que les développements de nature générale et abstraite du recours, en lien en particulier avec la « surveillance de la diaspora » tamoule par les autorités sri-lankaises (cf. mémoire de recours, p. 6 ss), en tant qu’ils sont sans rapport direct avéré avec la personne du recourant, ne sont pas de nature à démontrer l'existence d'une persécution ciblée contre lui pour des motifs politiques, ethniques ou analogues, ni à étayer ses craintes d'être exposé à une persécution future, qu’au vu de ce qui précède, c’est à bon droit que le SEM n’a pas entrepris des mesures d’instruction complémentaires, sous la forme notamment de la tenue d’une nouvelle audition sur les motifs d’asile, et qu’il a derechef dénié la qualité de réfugié au recourant ainsi que rejeté sa demande d’asile multiple, que lorsqu'il rejette la demande d'asile ou qu'il refuse d'entrer en matière à ce sujet, le SEM prononce, en règle générale, le renvoi de Suisse et en ordonne l'exécution (art. 44 LAsi), qu'aucune des conditions de l'art. 32 de l’ordonnance 1 sur l’asile du 11 août 1999 (OA 1, RS 142.311)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t>D-1195/2022 Page 10 que les problèmes de santé psychologiques allégués n’apparaissent manifestement pas d’une gravité telle que son renvoi serait illicite au sens de la jurisprudence de la Cour européenne des droits de l’homme (cf. arrêt Paposhvili c. Belgique du 13 décembre 2016, requête n° 41738/10, et arrêts cités), étant souligné qu’un traitement suffisant est accessible, le cas échéant, au Sri Lanka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depuis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de référence du Tribunal E-1866/2015 du 15 juillet 2016 consid. 13), que ni l’évolution de la situation politique dans ce pays ni la crise économique et financière à laquelle il est actuellement confronté ne sont susceptibles de modifier cette appréciation (cf. arrêts du Tribunal E-884/2024 du 26 mars 2024 ; E-243/2020 du 26 janvier 2024 consid. 11.2 et jurisp. cit.), qu’il ne ressort pas non plus du dossier que l’intéressé pourrait être mis concrètement en danger pour des motifs qui lui sont propres, qu’il est jeune et bénéficie d’une expérience professionnelle, que ses problèmes de santé, dont il s’est déjà prévalu dans les précédentes procédures (cf. rapport médical du 24 février 2021, produit dans le cadre de la procédure D-2646/2021), n’apparaissent manifestement pas d’une gravité telle qu’il se justifierait de renoncer à l’exécution du renvoi, que dans ces conditions, il n’y a par ailleurs pas lieu de requérir du recourant la production d’un rapport médical plus récent (cf. en ce sens, arrêt du Tribunal E-1686/2019 du 29 septembre 2023 consid. 4.3.3.2),</w:t>
      </w:r>
    </w:p>
    <w:p>
      <w:r>
        <w:t>D-1195/2022 Page 11 qu’au demeurant, des traitements psychiatriques sont disponibles au Sri Lanka, de sorte que l’intéressé pourra, si nécessaire, y poursuivre, même si ce n’est pas dans les conditions aussi développées qu’en Suisse, le suivi médical qui aurait été initié dans ce pays (cf. arrêts du Tribunal E-583/2024 du 20 février 2024 consid. 10.4.4 ; E-243/2020 consid. 11.4.4 et jurisp. cit.), qu’il est rappelé que l’intéressé aura la possibilité, le cas échéant,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s’avèreraient indispensables, que de surcroît, le recourant dispose dans son pays d’un solide réseau familial sur lequel il pourra compter à son retour (cf. notamment demande du 17 décembre 2021, p. 1),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w:t>
      </w:r>
    </w:p>
    <w:p>
      <w:r>
        <w:t>D-1195/2022 Page 12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qu’au regard de l’historique procédural, du caractère d’emblée voué à l’échec des conclusions du recours ainsi que de la nature purement appellatoire de l’essentiel des griefs formulés par le recourant et compte tenu de l’aspect inconvenant du recours (cf. décision incidente du 24 mars 2022), les frais sont majorés,</w:t>
      </w:r>
    </w:p>
    <w:p>
      <w:r>
        <w:t>(dispositif page suivante)</w:t>
      </w:r>
    </w:p>
    <w:p>
      <w:r>
        <w:t>D-1195/2022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