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D-1195/2016 vom 4. März 2016</w:t>
      </w:r>
    </w:p>
    <w:p>
      <w:r>
        <w:t>Bundesverwaltungsgericht, 2016-03-04, DE</w:t>
      </w:r>
    </w:p>
    <w:p>
      <w:r>
        <w:rPr>
          <w:b/>
        </w:rPr>
        <w:t xml:space="preserve">Quelle: </w:t>
      </w:r>
      <w:r>
        <w:t>https://mcp.opencaselaw.ch/entscheid/bvger_D-1195_2016</w:t>
      </w:r>
    </w:p>
    <w:p>
      <w:r>
        <w:t>FR: TAF D-1195/2016 du 4 mars 2016</w:t>
      </w:r>
    </w:p>
    <w:p>
      <w:r>
        <w:t>IT: TAF D-1195/2016 del 4 marzo 2016</w:t>
      </w:r>
    </w:p>
    <w:p>
      <w:pPr>
        <w:pStyle w:val="Heading2"/>
      </w:pPr>
      <w:r>
        <w:t>Regeste</w:t>
      </w:r>
    </w:p>
    <w:p>
      <w:r>
        <w:t>Wegweisung Dublin (Ausländerrecht)</w:t>
      </w:r>
    </w:p>
    <w:p>
      <w:pPr>
        <w:pStyle w:val="Heading2"/>
      </w:pPr>
      <w:r>
        <w:t>Erwägungen</w:t>
      </w:r>
    </w:p>
    <w:p>
      <w:r>
        <w:rPr>
          <w:b/>
        </w:rPr>
        <w:t>E. 1.1</w:t>
      </w:r>
    </w:p>
    <w:p>
      <w:r>
        <w:t>Das Bundesverwaltungsgericht entscheidet unter anderem über Beschwerden gegen Verfügungen (Art. 5 VwVG) des SEM, wobei das Gericht im Bereich der Wegweisungen aufgrund der Dublin-Assoziierungs­abkommen (Art. 64a AuG) endgültig entscheidet (Art. 112 Abs. 1 AuG i.V.m. Art. 31 und 33 VGG sowie Art. 83 Bst. c Ziff. 4 BGG).</w:t>
      </w:r>
    </w:p>
    <w:p>
      <w:r>
        <w:rPr>
          <w:b/>
        </w:rPr>
        <w:t>E. 1.2</w:t>
      </w:r>
    </w:p>
    <w:p>
      <w:r>
        <w:t>Das Verfahren richtet sich nach dem VwVG, soweit das VGG oder die Spezialgesetzgebung - vorliegend das AuG -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und formgerecht (Art. 48 Abs. 1 VwVG, Art. 64a Abs. 2 AuG und Art. 52 Abs. 1 VwVG). Auf die Beschwerde ist einzutreten.</w:t>
      </w:r>
    </w:p>
    <w:p>
      <w:r>
        <w:rPr>
          <w:b/>
        </w:rPr>
        <w:t>E. 2</w:t>
      </w:r>
    </w:p>
    <w:p>
      <w:r>
        <w:t>Gemäss Art. 21 Abs. 1 VGG ergeht dieser Entscheid in der Besetzung mit drei Richterinnen beziehungsweise Richtern.</w:t>
      </w:r>
    </w:p>
    <w:p>
      <w:r>
        <w:rPr>
          <w:b/>
        </w:rPr>
        <w:t>E. 3</w:t>
      </w:r>
    </w:p>
    <w:p>
      <w:r>
        <w:t>Gestützt auf Art. 57 Abs. 1 VwVG (e contrario) wurde vorliegend auf die Durchführung eines Schriftenwechsels verzichtet.</w:t>
      </w:r>
    </w:p>
    <w:p>
      <w:r>
        <w:rPr>
          <w:b/>
        </w:rPr>
        <w:t>E. 4</w:t>
      </w:r>
    </w:p>
    <w:p>
      <w:r>
        <w:t>Die Kognition des Bundesverwaltungsgerichts und die zulässigen Rügen richten sich im Bereich des Ausländerrechts nach Art. 49 VwVG.</w:t>
      </w:r>
    </w:p>
    <w:p>
      <w:r>
        <w:rPr>
          <w:b/>
        </w:rPr>
        <w:t>E. 5.1</w:t>
      </w:r>
    </w:p>
    <w:p>
      <w:r>
        <w:t>Gemäss Art. 64a AuG setzt eine Wegweisungsverfügung gestützt auf diese Bestimmung den ille­galen Aufenthalt der betroffenen Person in der Schweiz und die Zuständigkeit eines anderen, an das Dublin-Assoziierungsabkommen gebundenen Staats für die Durchführung des Asylverfahrens voraus.</w:t>
      </w:r>
    </w:p>
    <w:p>
      <w:r>
        <w:rPr>
          <w:b/>
        </w:rPr>
        <w:t>E. 5.2</w:t>
      </w:r>
    </w:p>
    <w:p>
      <w:r>
        <w:t>Diese Voraussetzungen sind vorliegend, wie die Prozessgeschichte zeigt, ohne weiteres erfüllt. Der Beschwerdeführer hält sich seit der Wiedereinreise illegal in der Schweiz auf, verfügt unbestrittenermassen über keine ausländerrechtliche Anwesenheitsbewilligung und es besteht derzeit auch kein Anspruch auf die Erteilung einer solchen Bewilligung. Die Zuständigkeit Italiens zur Prüfung des Asylgesuchs des Beschwerdeführers wurde mit Verfügung des SEM vom 14. Oktober 2015 rechtskräftig festgestellt. Diese wird denn vom Beschwerdeführer auch nicht bestritten und Italien hat dem Wiederaufnahmeersuchen der Vorinstanz vom 13. Januar 2016 implizit zugestimmt. Die Dublin-Verordnung berechtigt Asylsuchende nicht dazu, frei zu wählen, von welchem Mitgliedstaat sie ihr Asylgesuch prüfen lassen wollen. Die Wegweisung ist demnach zu Recht angeordnet worden.</w:t>
      </w:r>
    </w:p>
    <w:p>
      <w:r>
        <w:rPr>
          <w:b/>
        </w:rPr>
        <w:t>E. 6.1</w:t>
      </w:r>
    </w:p>
    <w:p>
      <w:r>
        <w:t>Damit bleibt zu prüfen, ob dem Vollzug der Wegweisung Hindernisse im Sinne von Art. 83 Abs. 1 bis 4 AuG entgegenstehen, da das SEM eine vorläufige Aufnahme anzuordnen hat, wenn sich der Wegweisungsvollzug als nicht zulässig, nicht zumutbar oder nicht möglich erweist (Art. 83 Abs. 1 AuG).</w:t>
      </w:r>
    </w:p>
    <w:p>
      <w:r>
        <w:rPr>
          <w:b/>
        </w:rPr>
        <w:t>E. 6.2</w:t>
      </w:r>
    </w:p>
    <w:p>
      <w:r>
        <w:t>Der Beschwerdeführer brachte sowohl anlässlich der Befragung als auch in der Beschwerde vor, dass er an seiner Hand operiert worden sei und deshalb nicht nach Italien zurückkehren könne.</w:t>
      </w:r>
    </w:p>
    <w:p>
      <w:r>
        <w:rPr>
          <w:b/>
        </w:rPr>
        <w:t>E. 6.3</w:t>
      </w:r>
    </w:p>
    <w:p>
      <w:r>
        <w:t>Hierzu erwog das SEM in der angefochtenen Verfügung, dass Italien die Richtlinie 2013/33/EU des Europäischen Parlaments und des Rates vom 26. Juni 2013 (Aufnahmerichtlinie) umgesetzt habe, welche zahlreiche Mindestnormen für die Aufnahme und Betreuung von Asylsuchenden beinhalte. Italien verfüge über eine hinreichende medizinische Infrastruktur und sei gemäss Art. 19 Abs. 1 der Aufnahmerichtlinie verpflichtet, dem Beschwerdeführer die erforderliche Versorgung zu gewähren, welche zumindest die Notversorgung und die unbedingt notwendige Behandlung von Krankheiten und psychischen Störungen umfasse. Es lägen keine Hinweise vor, dass Italien dem Beschwerdeführer eine medizinische Behandlung verweigern würde. Der Vollzug der Wegweisung sei daher als zulässig, zumutbar und möglich zu erachten. Diese Ausführungen der Vorinstanz sind vollumfänglich zu bestätigen.</w:t>
      </w:r>
    </w:p>
    <w:p>
      <w:r>
        <w:rPr>
          <w:b/>
        </w:rPr>
        <w:t>E. 7</w:t>
      </w:r>
    </w:p>
    <w:p>
      <w:r>
        <w:t>Dem Beschwerdeführer ist es im Ergebnis nicht gelungen darzutun, in­wiefern die angefochtene Verfügung Bundesrecht verletzt, den rechtserheblichen Sachverhalt unrichtig oder unvollständig feststellt oder unange­messen ist (Art. 49 VwVG), weshalb die Beschwerde abzuweisen ist.</w:t>
      </w:r>
    </w:p>
    <w:p>
      <w:r>
        <w:rPr>
          <w:b/>
        </w:rPr>
        <w:t>E. 8</w:t>
      </w:r>
    </w:p>
    <w:p>
      <w:r>
        <w:t>Bei diesem Ausgang des Verfahrens sind die Kosten dem Be­schwerde­führer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