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D-1192/2020 vom 28. Oktober 2020</w:t>
      </w:r>
    </w:p>
    <w:p>
      <w:r>
        <w:t>Bundesverwaltungsgericht, 2020-10-28, DE</w:t>
      </w:r>
    </w:p>
    <w:p>
      <w:r>
        <w:rPr>
          <w:b/>
        </w:rPr>
        <w:t xml:space="preserve">Quelle: </w:t>
      </w:r>
      <w:r>
        <w:t>https://mcp.opencaselaw.ch/entscheid/bvger_D-1192_2020</w:t>
      </w:r>
    </w:p>
    <w:p>
      <w:r>
        <w:t>FR: TAF D-1192/2020 du 28 octobre 2020</w:t>
      </w:r>
    </w:p>
    <w:p>
      <w:r>
        <w:t>IT: TAF D-1192/2020 del 28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negativen Entscheides im Wesentlichen aus, die Vorbringen des Beschwerdeführers hielten den Anforderungen an die Asylrelevanz gemäss Art. 3 AsylG nicht stand. Bezüglich seines Vorbringens, aufgrund seines Rufes als sogenannter B._______, der über die Kraft des (...) verfüge, sei er seit jeher von der Gesellschaft ausgeschlossen gewesen, hielt das SEM fest, dass diese Ausführungen nachvollziehbar seien und vom SEM nicht in Abrede gestellt würden. Allerdings vermöge dieses Vorbringen keine asylrechtliche Relevanz zu entfalten. Hinsichtlich der geltend gemachten Desertion aus der Volksarmee führte das SEM aus, aus den Ausführungen des Beschwerdeführers sei zu schliessen, dass er ab Anfang des Jahres (...) Mitglied der eritreischen Volksarmee gewesen sei und einer erneuten Aufforderung zur Absolvierung einer militärischen Grundausbildung per (...) keine Folge geleistet habe. Festzuhalten sei, dass für Personen, welche nicht mehr im nationaldienstpflichtigen Alter seien - wie dies beim heute (...)-jährigen Beschwerdeführer ([...]-jährig im Zeitpunkt der Desertion) der Fall sei - die Strafbestimmungen der Proklamation 82/1995 über den eritreischen Nationaldienst nicht mehr zur Anwendung kämen. Der Hinweis des Beschwerdeführers, wonach er der Aufforderung zur zweiten militärischen Ausbildung keine Folge mehr geleistet habe, indem er das Land verlassen habe, lasse für sich alleine betrachtet noch nicht auf eine drohende asylbeachtliche Verfolgung schliessen. Vielmehr müssten, damit eine begründete Furcht im Sinne von Art. 3 AsylG bejaht werden könnte, konkrete Indizien vorliegen, aufgrund derer der Eintritt von für ihn asylrelevanten Nachteilen mit beachtlicher Wahrscheinlichkeit und in absehbarer Zukunft zu erwarten wäre. Dies sei vorliegend nicht der Fall, zumal er eine entsprechende Befürchtung selber auch gar nicht geltend gemacht habe. Damit habe er zum Zeitpunkt seiner Ausreise keine drohende asylrechtlich relevante Gefährdung nachweisen können. Gleichzeitig gehe aus seinen Aussagen glaubhaft hervor, dass er Eritrea im Februar (...) illegal verlassen habe. Basierend auf dem Referenzurteil des Bundesverwaltungsgerichts D-7898/2015 vom 30. Januar 2017 sei im vorliegenden Fall - nebst der illegalen Ausreise - das Vorhandensein eines zusätzlichen Anknüpfungspunkts beziehungsweise Gefährdungsfaktors zu bejahen. Es sei davon auszugehen, dass er in den Augen des eritreischen Regimes als missliebige Person angesehen werde, womit seine illegale Ausreise zur Anerkennung der Flüchtlingseigenschaft führe. Flüchtlingen werde jedoch kein Asyl gewährt, wenn sie erst durch ihre Ausreise aus dem Heimat- oder Herkunftsstaat oder wegen ihres Verhaltens nach der Ausreise Flüchtlinge im Sinne von Art. 3 AsylG geworden seien (Art. 54 AsylG; subjektive Nachfluchtgründe). Da die flüchtlingsrelevanten Elemente erst mit seiner illegalen Ausreise aus Eritrea entstanden seien, werde er von der Asylgewährung ausgeschlossen, indessen als Flüchtling in der Schweiz vorläufig aufgenommen.</w:t>
      </w:r>
    </w:p>
    <w:p>
      <w:r>
        <w:rPr>
          <w:b/>
        </w:rPr>
        <w:t>E. 5.2</w:t>
      </w:r>
    </w:p>
    <w:p>
      <w:r>
        <w:t>In der Rechtsmitteleingabe wird im Wesentlichen geltend gemacht, entgegen der vorinstanzlichen Ansicht habe der Beschwerdeführer auch eine objektiv begründete Furcht, aufgrund seiner Desertion aus der Volksarmee in Eritrea asylrelevanten Nachteilen ausgesetzt zu sein. Dem Bericht «Fokus Eritrea: Volksarmee» des SEM vom 17. Dezember 2019 sei zu entnehmen, dass keine rechtliche Grundlage der Volksarmee bekannt sei und damit auch keine Richtlinien für die Bestrafung von Dienstverweigerern. Bekannt sei hingegen, dass Personen bis zum Alter von 70 oder mehr Jahren dazu verpflichtet würden, Dienst im Rahmen der Volksarmee zu leisten. Eingezogen würden auch Personen, welche aufgrund ihrer Gesundheit oder ihres Alters aus dem Nationaldienst entlassen oder noch nicht für den Nationaldienst aufgeboten worden seien. Es sei daher nicht nachvollziehbar, weshalb die Vorinstanz zur Begründung ihrer Ablehnung der Flüchtlingseigenschaft aufgrund der Desertion aus der Volksarmee die eritreischen Strafbestimmungen bei Desertion und Verweigerung des Nationaldienstes heranziehe und ausführe, dass diese beim Beschwerdeführer aufgrund seines Alters nicht zur Anwendung kämen. Das SEM bezweifle nicht, dass er Wachdienst im Rahmen der Volksarmee habe leisten müssen und für eine zweite militärische Ausbildung einberufen worden sei. Auch die Umstände würden dafür sprechen, dass er eine objektiv begründete Furcht habe, aufgrund seiner Desertion aus der Volksarmee in Eritrea asylrelevanten Nachteilen ausgesetzt zu sein. Als B._______, eine Person mit (...), hätten er und seine Familie einen sehr tiefen sozialen Status und würden von der Gesellschaft diskriminiert. Zudem müsse berücksichtigt werden, dass bereits drei seiner Kinder das Land illegal verlassen hätten und der Beschwerdeführer bereits zwei Mal inhaftiert worden sei (...). Auch sei er während der Arbeit für K._______ immer wieder vorübergehend festgenommen worden. Im Jahr (...) hätten sie nach der Flucht zwei ihrer Kinder den Laden schliessen müssen. Nach seiner eigenen Flucht sei seine Ehefrau stark unter Druck gesetzt und während zweier Wochen täglich von morgens bis abends auf der Polizeiwache festgehalten und zu ihrem Mann befragt worden. Anschliessend seien ihr die L._______ gestrichen worden, was eine massive Verschlechterung ihrer Lebensumstände bedeute. Aus diesen Gründen müsse davon ausgegangen werden, dass er aufgrund seiner Weigerung, die zweite militärische Ausbildung zu absolvieren, asylrelevante Konsequenzen zu befürchten hätte. Den Ausführungen in der angefochtenen Verfügung, wonach der Beschwerdeführer eine entsprechende Befürchtung selber gar nicht geltend gemacht habe, sei zu widersprechen. Im Rahmen der Anhörung habe er zwar nicht explizit davon gesprochen, welche Strafen ihn aufgrund seiner Verweigerung der militärischen Weiterbildung erwarten würden, er habe aber ausgeführt, dass er sein Land verlassen und grosse Angst habe. Er sei davon ausgegangen, dass das SEM um die zu erwartende Strafe wissen würde, und habe sich in der Erzählung auf andere für ihn wichtige Ereignisse konzentriert. Er sei nie explizit danach gefragt worden, welche Strafe ihn aufgrund der Verweigerung erwartet hätte. Auf die am Ende der Anhörung gestellte Frage, was er bei einer Rückkehr nach Eritrea befürchten würde, habe er zu Protokoll gegeben, dass er vielleicht im Gefängnis sterben würde, da ein Mann aus Eritrea, der seine Waffe zurücklasse und das Land verlasse, lebenslang ins Gefängnis komme.</w:t>
      </w:r>
    </w:p>
    <w:p>
      <w:r>
        <w:rPr>
          <w:b/>
        </w:rPr>
        <w:t>E. 6.1</w:t>
      </w:r>
    </w:p>
    <w:p>
      <w:r>
        <w:t>Nachfolgend ist zu prüfen, ob die Vorinstanz dem Beschwerdeführer die Asylgewährung zu Recht verweigert und als Folge davon die Wegweisung angeordnet hat.</w:t>
      </w:r>
    </w:p>
    <w:p>
      <w:r>
        <w:rPr>
          <w:b/>
        </w:rPr>
        <w:t>E. 6.2</w:t>
      </w:r>
    </w:p>
    <w:p>
      <w:r>
        <w:t>Im Sinne einer Vorbemerkung ist der Vollständigkeit halber anzumerken, dass das SEM die Aussagen des Beschwerdeführers - wie vorstehend wiedergegeben - nicht bezweifelt hat. Für das Bundesverwaltungsgericht besteht nach Durchsicht der Akten keine Veranlassung, von dieser Beurteilung abzuweichen.</w:t>
      </w:r>
    </w:p>
    <w:p>
      <w:r>
        <w:rPr>
          <w:b/>
        </w:rPr>
        <w:t>E. 6.3</w:t>
      </w:r>
    </w:p>
    <w:p>
      <w:r>
        <w:t>Mit der Vorinstanz ist festzuhalten, dass mögliche Nachteile, die auf die allgemeinen wirtschaftlichen beziehungsweise sozialen Lebensbedingungen in Eritrea zurückzuführen sind, die Anforderungen an eine asylerhebliche Gefährdung nicht zu erfüllen vermögen. Die vom Beschwerdeführer geltend gemachte gesellschaftliche Ausgrenzung aufgrund seiner Zugehörigkeit zu den B._______, den Menschen, welche über die Kraft des (...) verfügten, hat die Vorinstanz zu Recht als asylrechtlich nicht relevant qualifiziert. Den diesbezüglichen Erwägungen wird auf Beschwerdeebene denn auch nichts Stichhaltiges entgegengehalten, weshalb auf die zu bestätigenden Erläuterungen in der angefochtenen Verfügung verwiesen werden kann.</w:t>
      </w:r>
    </w:p>
    <w:p>
      <w:r>
        <w:rPr>
          <w:b/>
        </w:rPr>
        <w:t>E. 6.4</w:t>
      </w:r>
    </w:p>
    <w:p>
      <w:r>
        <w:t>Damit bleibt zu prüfen, ob dem heute (...)-jährigen Beschwerdeführer als Mitglied der Volksarmee und aufgrund seiner Weigerung, in diesem Rahmen die zweite militärische Ausbildung zu absolvieren, begründete Furcht vor Verfolgung zuzuerkennen ist beziehungsweise ob er - analog der nachfolgend dargestellten Rechtsprechung zum eritreischen Nationaldienst - deswegen mit einer unverhältnismässigen Bestrafung zu rechnen hat.</w:t>
      </w:r>
    </w:p>
    <w:p>
      <w:r>
        <w:rPr>
          <w:b/>
        </w:rPr>
        <w:t>E. 6.4.1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beispielsweise Urteil des BVGer E-1740/2016 vom 9. Februar 2018 E. 5.1).</w:t>
      </w:r>
    </w:p>
    <w:p>
      <w:r>
        <w:rPr>
          <w:b/>
        </w:rPr>
        <w:t>E. 6.4.2</w:t>
      </w:r>
    </w:p>
    <w:p>
      <w:r>
        <w:t>In Eritrea existiert parallel zum Nationaldienst die sogenannte Volksarmee (people's army in Englisch; hizbawi serawit in Tigrinisch; auch Zivilmiliz genannt), welche in ihrer heutigen Form im Jahr 2012 nach zwei äthiopischen Angriffen auf eritreisches Territorium entstand und deren Zweck wohl darin besteht, die durch zahlreiche Desertionen geschwächte eritreische Armee als kostengünstige Kompensation zu stärken. Die Dienstpflicht in der Volksarmee beruht im Gegensatz zu derjenigen im Nationaldienst auf keiner gesetzlichen Grundlage (vgl. European Asylum Support Office EASO , EASO-Bericht über Herkunftsländerinformationen, Länderfokus Eritrea, Mai 2015, S. 44; Landinfo, Country of Origin Information Centre, Report National Service, 20. Mai 2016, S. 25; SEM, Fokus Eritrea, Volksarmee "Volksmiliz" , 31. Januar 2017, S. 4 f. und 8; SFH, Eritrea: Nationaldienst, Themenpapier der SFH-Länderanalyse, 30. Juni 2017, S. 19; UN Human Rights Council, Report of the detailed findings of the Commission of Inquiry on Human Rights in Eritrea, 5. Juni 2015, &lt; https://www.ohchr.org/Documents/HRBodies/HRCouncil/CoIEritrea/A_HRC_29_CRP-1.pdf &gt;, abgerufen am 12. Oktober 2020). Unklar ist, ob die Volksarmee zum Nationaldienst gehört. Nach Mai 2014 wurde sie dem Generalstabchef unterstellt und damit wohl Teil der regulären Armee (vgl. SEM, Volksarmee, a.a.O., S. 12; SFH, Fokus Eritrea, Die Volksarmee Hizbawi Serawit, Länderanalyse vom 6. Oktober 2016). Die Volksarmee kann folglich als eine Verlängerung der militärischen Dienstpflicht qualifiziert werden (vgl. Urteil des BVGer D-2311/2016 vom 17. August 2017 als Referenzurteil publiziert E. 12.5, vgl. auch SEM, Volksarmee, a.a.O., S. 6; Landinfo, a.a.O., S. 25). Sie setzt sich aus (noch) nicht eingezogenen, demobilisierten und aus dem Nationaldienst entlassenen sowie über 54-jährigen, nicht mehr der Reserve angehörenden Personen zusammen (vgl. EASO-Bericht, a.a.O., S. 44; Landinfo, a.a.O., S. 25; SEM, Volksarmee, a.a.O., S. 6 und 12; SFH, Die Volksarmee, a.a.O.; SFH, Themenpapier, S. 17 f.; UN Human Rights Council, a.a.O., S. 428, Rz. 1450). Eine Rekrutierung ist noch bis ins Alter von circa 70 Jahren, gemäss vereinzelten Quellen sogar bis circa 75 Jahren möglich (vgl. EASO-Bericht, S. 44; Landinfo, a.a.O., S. 25; SFH, Die Volksarmee, a.a.O.; SFH, Themenpapier, a.a.O., S. 18; SEM, Volksarmee, a.a.O., S. 8 und 12; UN Human Rights Council, a.a.O., S. 428, Rz. 1451). Gemäss Quellen von Amnesty International seien ab dem Jahr 2015 auch Frauen mit Kindern rekrutiert worden (vgl. Amnesty International, Just Deserters: Why indefinite national service in Eritrea has created a generation of refugees, Dezember 2015, &lt; https://www.amnesty.org/en/ documents/afr64/ 2930/ 2015/en/ &gt;, S. 8, abgerufen am 12. Oktober 2020). Die Angehörigen der Volksarmee durchlaufen zunächst eine militärische Grundausbildung (Waffenausbildung) und werden anschliessend für Bewachungsaktivitäten oder verschiedene Arbeitseinsätze aufgeboten, beispielsweise in öffentlichen Entwicklungsprojekten oder in der Landwirtschaft. Die Einsätze werden an einzelnen Tagen oder über einige Wochen hinweg ohne Bezahlung und ohne Entschädigung für den Erwerbsausfall an ihrer üblichen Arbeitsstelle geleistet (vgl. EASO-Bericht, a.a.O., S. 44; Danish Immigration Service, Eritrea: Drivers and Root Causes of Emigration, National Service and the Possiblity of Return, August und Oktober 2014, &lt; https://www.nyidanmark.dk/NR/rdonlyres/B28905F5-5C3F-409B-8A22-0DF0DACBDAEF/0/EritreareportEndeligversion.pdf &gt; , abgerufen am 12. Oktober 2020, S. 1 f.; Landinfo, a.a.O., S. 25; SEM, Volksarmee, a.a.O., S. 8 ff.; SFH, Die Volksarmee, a.a.O.; SFH, Themenpapier, a.a.O., S. 18; UN Human Rights Council, a.a.O., S. 428, Rz. 1455 ff.). Für die Verwaltung und die Umsetzung der Volksarmee sind die Lokalverwaltungen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(vgl. Landinfo, a.a.O., S. 26; SEM, Volksarmee, a.a.O., S. 8 und 13 f.; UN Human Rights Council, a.a.O., S. 428, Rz. 1452 ff.).</w:t>
      </w:r>
    </w:p>
    <w:p>
      <w:r>
        <w:rPr>
          <w:b/>
        </w:rPr>
        <w:t>E. 6.4.3</w:t>
      </w:r>
    </w:p>
    <w:p>
      <w:r>
        <w:t>Hinsichtlich der Konsequenzen bei Nichtbefolgung einer Aufforderung zum Eintritt in die Volksarmee existieren unterschiedliche Informationen. Ausweislich der Quellenlage kommt als Bestrafung eine blosse Ermahnung, der Verlust von Lebensmittelcoupons und Identitätspapieren, ein Entzug der Geschäftslizenz, die Beschlagnahmung von Eigentum oder gar eine Inhaftierung in Frage (vgl. Amnesty International, a.a.O., S. 34 f.; EASO-Bericht, a.a.O., S. 44; SEM, Volksarmee, a.a.O., S. 7 und 15 f.; SFH, Die Volksarmee, a.a.O.; SFH, Themenpapier, a.a.O., S. 19). In gewissen Quellen wird erwähnt, dass inhaftierte Volksarmeeverweigerer, wie bereits Militärdienstverweigerer, einer unverhältnismässig harten Bestrafung ausgesetzt seien. So würden Betroffene welche sich nicht durch Bestechung freikaufen könnten in Einzelzellen ohne Tageslicht inhaftiert, nicht genügend Wasser und Essen erhalten und gefoltert werden (vgl. SFH, Themenpapier, a.a.O., S. 19; UN Human Rights Council, a.a.O., S. 428, Rz. 1463 ff.). Teils würden auch Ehefrauen von Verweigerern verhaftet werden (vgl. SEM, Volksarmee, a.a.O., S. 15). Vereinzelt wird die Meinung vertreten, dass Personen, die sich der Einberufung zur Volksarmee durch Flucht ins Ausland entziehen, als Deserteure betrachtet und wie Deserteure bestraft würden (vgl. SFH, Die Volksarmee, a.a.O.).</w:t>
      </w:r>
    </w:p>
    <w:p>
      <w:r>
        <w:rPr>
          <w:b/>
        </w:rPr>
        <w:t>E. 6.4.4</w:t>
      </w:r>
    </w:p>
    <w:p>
      <w:r>
        <w:t>Es kann somit nicht allgemein von einer asylrelevanten Bestrafung ausgegangen werden. Hinsichtlich der Verhängung von Strafen bei Desertion und Dienstverweigerung betreffend die Volksarmee ist vielmehr im Einzelfall zu prüfen, ob asylrelevante Konsequenzen zu befürchten sind.</w:t>
      </w:r>
    </w:p>
    <w:p>
      <w:r>
        <w:rPr>
          <w:b/>
        </w:rPr>
        <w:t>E. 6.5.1</w:t>
      </w:r>
    </w:p>
    <w:p>
      <w:r>
        <w:t>Der Beschwerdeführer machte geltend, bei einer Rückkehr befürchte er, vielleicht im Gefängnis zu sterben. Wenn ein Mann aus Eritrea seine Waffe zurücklasse und das Land verlasse, komme er lebenslang ins Gefängnis (vgl. C23/29 S. 25 F226). Diese Befürchtung bestätigte er am Schluss der Anhörung (vgl. C23/29 S. 27 F232). Auf welchen Erfahrungen oder Erkenntnissen diese Befürchtung beruhe, wurde er nicht gefragt. Insofern kann das Bundesverwaltungsgericht die vorinstanzliche Auffassung, der Beschwerdeführer habe keine asylrelevanten Nachteile geltend gemacht, nicht vollumfänglich bestätigen.</w:t>
      </w:r>
    </w:p>
    <w:p>
      <w:r>
        <w:rPr>
          <w:b/>
        </w:rPr>
        <w:t>E. 6.5.2</w:t>
      </w:r>
    </w:p>
    <w:p>
      <w:r>
        <w:t>Aus den Akten ergibt sich, dass vor dem Beschwerdeführer bereits drei seiner Kinder aus Eritrea ausgereist waren. Nach der Ausreise des Sohnes M._______ im Jahr (...) wurde der Beschwerdeführer für (...) Monate inhaftiert, die Freilassung erfolgte nach Leistung einer Bürgschaft (vgl. C23/29 F157 ff.). Im Jahr (...) kam der Beschwerdeführer erneut für (...) Monat und (...) Wochen in Haft, wobei der Grund dafür aus den Aussagen nicht ganz klar hervorgeht (vgl. C23/29 F188). Nach der Ausreise zweier weiterer Kinder im Jahr (...) wurde der Laden des Beschwerdeführers geschlossen (vgl. C23/29 F110) und er wurde angewiesen, sich in der Gegend aufzuhalten (vgl. C23/29 F175), inhaftiert wurde er indessen nicht. Als Folge der eigenen Ausreise wurde die Ehefrau des Beschwerdeführers gemäss seinen Angaben während zweier Wochen einer täglichen Meldepflicht unterstellt (vgl. C23/29 F155). Schliesslich befand sich eine weitere Tochter im Zeitpunkt der Anhörung seit (...) Monaten im Gefängnis, nachdem sie sich vom Militärdienst entfernt habe (vgl. C23/29 F81).</w:t>
      </w:r>
    </w:p>
    <w:p>
      <w:r>
        <w:rPr>
          <w:b/>
        </w:rPr>
        <w:t>E. 6.5.3</w:t>
      </w:r>
    </w:p>
    <w:p>
      <w:r>
        <w:t>Dem Beschwerdeführer ist es damit nicht gelungen, eine objektiv und subjektiv begründete Furcht vor künftiger Verfolgung nachzuweisen oder glaubhaft zu machen. Es kann deshalb darauf verzichtet werden, auf die weiteren Vorbringen in der Beschwerde sowie die Hinweise auf Berichte des SEM und der SFH einzugehen, da sie nicht geeignet sind, zu einer anderen Beurteilung zu führen.</w:t>
      </w:r>
    </w:p>
    <w:p>
      <w:r>
        <w:rPr>
          <w:b/>
        </w:rPr>
        <w:t>E. 7</w:t>
      </w:r>
    </w:p>
    <w:p>
      <w:r>
        <w:t>Das Bundesverwaltungsgericht kommt zum Schluss, dass die flüchtlingsrechtlich relevanten Elemente im vorliegenden Fall erst mit der illegalen Ausreise des Beschwerdeführers entstanden sind, weshalb das SEM den Beschwerdeführer zu Recht gestützt auf Art. 54 AsylG als Flüchtling anerkannt, ihn aber von der Asylgewährung ausgeschlossen hat. 8.Gemäss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 Die Vorinstanz hat in der angefochtenen Verfügung vom 3. Februar 2020 die vorläufige Aufnahme des Beschwerdeführers in der Schweiz angeordnet. Demnach erübrigen sich praxisgemäss Ausführungen zur Zulässigkeit, Zumutbarkeit und Möglichkeit des Wegweisungsvollzugs. 9.Aus diesen Erwägungen ergibt sich, dass die angefochtene Verfügung Bundesrecht nicht verletzt, den rechtserheblichen Sachverhalt richtig sowie vollständig feststellt (Art. 106 Abs. 1 AsylG) und - soweit diesbezüglich überprüfbar - angemessen ist. Die Beschwerde ist abzuweisen. 10.10.1 Bei diesem Ausgang des Verfahrens wären die Kosten grundsätzlich dem unterliegenden Beschwerdeführer aufzuerlegen (Art. 63 Abs. 1 VwVG). Da das Bundesverwaltungsgericht das Gesuch um der unentgeltlichen Prozessführung mit Zwischenverfügung vom 16. März 2020 gutgeheissen hat und keine Veränderung seiner finanziellen Verhältnisse ersichtlich ist, sind keine Kosten zu erheben. 10.2 Die amtliche Rechtsbeiständin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der Rechtsvertretung zulasten der Gerichtskasse ein Honorar in der Höhe von Fr. 500.-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