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D-1189/2014 vom 30. April 2014</w:t>
      </w:r>
    </w:p>
    <w:p>
      <w:r>
        <w:t>Bundesverwaltungsgericht, 2014-04-30, DE</w:t>
      </w:r>
    </w:p>
    <w:p>
      <w:r>
        <w:rPr>
          <w:b/>
        </w:rPr>
        <w:t xml:space="preserve">Quelle: </w:t>
      </w:r>
      <w:r>
        <w:t>https://mcp.opencaselaw.ch/entscheid/bvger_D-1189_2014</w:t>
      </w:r>
    </w:p>
    <w:p>
      <w:r>
        <w:t>FR: TAF D-1189/2014 du 30 avril 2014</w:t>
      </w:r>
    </w:p>
    <w:p>
      <w:r>
        <w:t>IT: TAF D-1189/2014 del 30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In der Beschwerde wird gerügt, die Vorinstanz habe den Sachverhalt unkorrekt festgestellt beziehungsweise das rechtliche Gehör verletzt, indem sie den Beschwerdeführer zu Unrecht als volljährige Person behandelt und ihm daher keine Vertrauensperson zugeteilt habe. Diese Rüge ist vorab zu prüfen, da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3.2</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3.3</w:t>
      </w:r>
    </w:p>
    <w:p>
      <w:r>
        <w:t>Ist einer unbegleiteten minderjährigen Person kein Vormund oder Bei­stand ernannt worden und sind entsprechende vormundschaftliche Mass­nahmen seitens der zuständigen kantonalen Behörden auch nicht innert ver­nünftiger Frist zu erwarten, so ist urteilsfähigen, unbegleiteten und nicht vertretenen Minderjährigen für die Dauer des Asylverfahrens eine rechtskundige Vertrauensperson beizuordnen, bevor die erste Anhörung zu den Asylgründen (Art. 29 AsylG bzw. Art. 36 Abs. 1 AsylG) durchgeführt wird (vgl. Art. 17 Abs. 3 AsylG; Art. 7 Abs 3 u. 5 der Asylverord­nung 1 vom 11. August 1999 über Verfahrensfragen [AsylV 1, SR 142.311]; Art 3 und 22 des Übereinkommens vom 20. November 1989 über die Rechte des Kindes [SR 0.107] und EMARK 2004 Nr. 30 E. 3.1, mit weiteren Hinweisen).</w:t>
      </w:r>
    </w:p>
    <w:p>
      <w:r>
        <w:rPr>
          <w:b/>
        </w:rPr>
        <w:t>E. 3.4</w:t>
      </w:r>
    </w:p>
    <w:p>
      <w:r>
        <w:t>Der Beschwerdeführer gab bei der Kurzbefragung an, er sei im Jahr 1995 (1374) geboren worden. Würden diese Angaben zutreffen, wäre er damals minderjährig gewesen und es hätte für ihn eine Vertrauensperson ernannt werden müssen. Die Vorinstanz vertrat indessen, wie sich deren Akten entnehmen lässt, die Ansicht, dass der Beschwerdeführer seine Minderjährigkeit nicht habe glaubhaft machen können, weshalb ihm keine Vertrauensperson beigeordnet wurde.</w:t>
      </w:r>
    </w:p>
    <w:p>
      <w:r>
        <w:rPr>
          <w:b/>
        </w:rPr>
        <w:t>E. 3.5</w:t>
      </w:r>
    </w:p>
    <w:p>
      <w:r>
        <w:t>Die Vorinstanz begründete ihren Befund, der Beschwerdeführer sei volljährig, in der angefochtenen Verfügung damit, eine Knochenaltersana­lyse habe ergeben, dass der Beschwerdeführer mindestens neunzehn Jahre alt sein müsse. Gemäss der eingereichten Tazkara sei er im Jahr 2009 vierzehn Jahre alt gewesen. Afghanische Dokumente seien jedoch aufgrund der Unzuverlässigkeit der darauf angegebenen Daten nicht geeignet, gemachte Angaben zu bestätigen. Anlässlich der Gewährung des rechtlichen Gehörs zur Altersbestimmung begründete das BFM dem Be­schwerdeführer gegenüber seine Auffassung, es erachte ihn als volljährig, ausserdem damit, dass seine Aussagen bezüglich seines Reiseweges vage und inkohärent ausgefallen seien; zudem entsprächen sein Aussehen und sein Verhalten einer Person, die volljährig sei.</w:t>
      </w:r>
    </w:p>
    <w:p>
      <w:r>
        <w:rPr>
          <w:b/>
        </w:rPr>
        <w:t>E. 3.6</w:t>
      </w:r>
    </w:p>
    <w:p>
      <w:r>
        <w:t>Der Beschwerdeführer hielt in seiner Rechtsmittelschrift an seiner bisherigen Altersangabe fest. Zudem führte er aus, er habe sich bezüglich seiner Altersangaben nicht widersprochen beziehungsweise die Differenz seiner Altersangaben habe lediglich ein Jahr betragen, weshalb nicht von einer relevanten Abweichung gesprochen werden könne. Im Übrigen sei die Knochenaltersanalyse keine exakte Methode der Altersermittlung und das Bundesverwaltungsgericht gehe von einer Standardabweichung von zweieinhalb bis drei Jahren aus (vgl. Urteil des Bundesverwaltungsge­richts D-4981/2013 vom 4. Dezember 2013). In diesem Urteil habe das Bundesverwaltungsgericht auch festgehalten, dass nicht schon allein auf­grund der Tatsache, dass es sich bei der Tazkara um ein leicht zu fälschendes Dokument ohne Sicherheitsmerkmale handle, der Schluss gezogen werde könne, es handle sich von vornherein um ein ungeeigne­tes Identitätspapier zum Identitätsnachweis. Damit die Tazkara zum Identitätsnachweis ungeeignet sei, brauche es weitere Ungereimtheiten.</w:t>
      </w:r>
    </w:p>
    <w:p>
      <w:r>
        <w:rPr>
          <w:b/>
        </w:rPr>
        <w:t>E. 3.7</w:t>
      </w:r>
    </w:p>
    <w:p>
      <w:r>
        <w:t>Der Beschwerdeführer vermag aus dem zitierten Entscheid nichts zu seinen Gunsten abzuleiten. Zwar weist er zurecht darauf hin, dass das Bundesverwaltungsgericht in seinem Urteil ausdrücklich festgehalten hat, dass hinsichtlich der Frage, ob eine Person das 18. Altersjahr tatsächlich bereits erreicht hat, aufgrund der Knochenaltersanalyse keine wissenschaftlich zuverlässigen Aussagen möglich sind und auch aufgrund des äusseren Erscheinungsbildes das Alter meist nur grob abgeschätzt werden kann (vgl. D-4981/2013 E. 4.7). Doch verkennt er, dass gerade deshalb der Würdigung der eigenen Angaben einer ihre Minderjährigkeit behauptenden asylsuchenden Person in aller Regel entscheidende Bedeutung zukommt (vgl. D-4981/2013 E. 4.7). Der Beweiswert ihrer Aussagen über das Alter kann reduziert werden, wenn sie neben nicht schlüssigen Aussagen zu den soeben genannten Punkten ganz offensichtlich unzutreffende Angaben über ihren Reiseweg macht oder wenn ihr elementare Kenntnisse über ihr angebliches Heimat- oder Herkunftsland fehlen (vgl. D-4981/2013 E. 4.7 S. 9, m.w.H.).</w:t>
      </w:r>
    </w:p>
    <w:p>
      <w:r>
        <w:rPr>
          <w:b/>
        </w:rPr>
        <w:t>E. 3.8</w:t>
      </w:r>
    </w:p>
    <w:p>
      <w:r>
        <w:t>Wie vorstehend unter Bst. D.a ausgeführt, hat sich der Beschwerdeführer bezüglich seiner Altersangaben in Ungereimtheiten verstrickt und weder seine auf Beschwerdeebene erhobenen Bestreitungsvermerke noch seine Hypothese, wonach er, falls er am 19. März 1996 (dem letzten Tag des Jahres 1374) geboren worden sein sollte, erst am 1. März 2014 volljährig gewesen wäre, und er somit auch bei der Anhörung vom 13. November 2013 minderjährig gewesen wäre, konnten diese plausibel erklären. Auch ist das BFM in der angefochtenen Verfügung zu Recht davon ausgegangen, dass die zum Gegenbeweis anlässlich der Anhörung eingereichte Tazkara nicht geeignet ist, die Minderjährigkeit des Beschwerdeführers glaubhaft zu machen, da ernsthafte Zweifel an ihrer Echtheit beziehungsweise inhaltlichen Richtigkeit bestehen.</w:t>
      </w:r>
    </w:p>
    <w:p>
      <w:r>
        <w:rPr>
          <w:b/>
        </w:rPr>
        <w:t>E. 3.9</w:t>
      </w:r>
    </w:p>
    <w:p>
      <w:r>
        <w:t>Nach dem Gesagten ist die behauptete Minderjährigkeit nach der Kurzbefragung unbewiesen geblieben und vom Beschwerdeführer auch weder im weiteren Verlauf des erstinstanzlichen Verfahrens noch im Beschwerdeverfahren glaubhaft gemacht worden. Da er die Folgen der Beweislosigkeit trägt, ist von seiner Volljährigkeit auszugehen. Vor die­sem Hintergrund besteht für das Bundesverwaltungsgericht kein Anlass, im Verzicht des BFM auf die Ernennung einer Vertrauensperson vor der Durchführung der Anhörung eine Verletzung des Anspruchs auf das rechtliche Gehör zu erblicken. Nach dem Gesagten ist der Antrag, es sei die Verfügung des BFM aufzuheben und die Vorinstanz anzuweisen, den Sachverhalt vollständig abzuklären, abzuweisen.</w:t>
      </w:r>
    </w:p>
    <w:p>
      <w:r>
        <w:rPr>
          <w:b/>
        </w:rPr>
        <w:t>E. 4.1</w:t>
      </w:r>
    </w:p>
    <w:p>
      <w:r>
        <w:t>Nachfolgend ist zu prüfen, ob die Vorinstanz zu Recht die Flüchtlingseigenschaft des Beschwerdeführers verneint und das Asylgesuch abgelehnt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Mit Urteil des Bundesverwaltungsgerichts D-1169/2014 vom 30. April 2014 wurde die Beschwerde des Bruders des Beschwerdeführers abgewiesen. Zur Begründung wurde im Wesentlichen geltend gemacht, dass auf die Unglaubhaftigkeit der geltend gemachten Konversion zu schliessen sei. Bei dieser Sachlage kann auch die vom Beschwerdeführer davon abgeleitete Verfolgung nicht geglaubt werden. Zudem wird auf die in der angefochtenen Verfügung festgestellte Asylirrelevanz der Vorbringen des Beschwerdeführers verwiesen. Die Vorbringen auf Beschwerdeebene sind nicht geeignet, eine Änderung der vorinstanzlichen Verfügung zu bewirken. Der Argumentation der Vorinstanz werden keine stichhaltigen und substanziierten Gründe entgegengesetzt. Eine diesbezügliche Auseinandersetzung unterbleibt zwar nicht gänzlich. Die Ausführungen auf Beschwerdeebene vermögen jedoch die Erwägungen des BFM nicht umzustossen, da der Beschwerdeführer im Wesentlichen an der Asylrelevanz und Stimmigkeit seiner Vorbringen festhält. Um Wiederholungen zu vermeiden, kann auf die zutreffenden Erwägungen in der angefochten Verfügung verwiesen werden.</w:t>
      </w:r>
    </w:p>
    <w:p>
      <w:r>
        <w:rPr>
          <w:b/>
        </w:rPr>
        <w:t>E. 5.2</w:t>
      </w:r>
    </w:p>
    <w:p>
      <w:r>
        <w:t>Im Rahmen einer Gesamtwürdigung aller Aussagen des Beschwerdeführers kommt das Gericht zum Schluss, dass es ihm nicht gelungen ist, eine asylrelevante Verfolgung in seinem Heimatland glaubhaft zu machen. Das BFM hat sein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Ausländergesetz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Nr. 37201/06, §§ 124-127,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Bundesverwaltungsgericht hat im Urteil BVGE 2011/7 eine Ana­lyse der Lage in Afghanistan vorgenommen. Dabei ist es zum Schluss ge­kommen, dass die dortige Sicherheitslage und die humanitäre Situation derart schlecht sei, dass - ausser allenfalls in Grossstädten - von einer existenzbedrohenden Situation im Sinne von Art. 83 Abs. 4 AuG auszuge­hen sei. Ausnahme bilde die Stadt Kabul, in welcher die Sicherheitslage weniger bedrohlich und die humanitäre Situation weniger dramatisch sei als in anderen Gebieten. Ein Vollzug der Wegweisung in die Stadt Kabul sei daher nicht generell unzumutbar, sondern könne unter begünstigen­den Umständen (junger Mann, tragfähiges soziales Netz, konkrete Möglichkeit der Sicherung des Existenzminimums und einer gesicherten Wohnsituation) als zumutbar erachtet werden. Offengelassen wurde im Urteil ausdrücklich, ob betreffend die Städte Herat und Mazar-i-Sharif in gleicher Weise zu entscheiden wäre (BVGE a.a.O., E. 9.91 ff.). Im Urteil BVGE 2011/38 hat sich das Gericht zur Lage in Herat geäussert. Es hat festgestellt, dass die dortige Sicherheitslage und die humanitäre Situation aktuell weniger bedrohlich sei als in den übrigen Landesteilen Afghanistans. Unter der Voraussetzung begünstigender Umstände (siehe vorstehend) sei der Vollzug nach Herat daher zumutbar (BVGE a.a.O.E. 4.3.1 ff.).</w:t>
      </w:r>
    </w:p>
    <w:p>
      <w:r>
        <w:rPr>
          <w:b/>
        </w:rPr>
        <w:t>E. 7.6</w:t>
      </w:r>
    </w:p>
    <w:p>
      <w:r>
        <w:t>Seinen Angaben zufolge lebte der junge - und soweit den Akten zu entnehmen ist - gesunde Beschwerdeführer seit seinem sechsten Alters­jahr bis zu seiner Ausreise im Frühjahr 2009 in Herat. Folglich ist er mit den dortigen Lebensumständen bestens vertraut. Gemäss den Akten le­ben seine Mutter und seine jüngste Schwester noch immer in Herat, wo er vor seiner Ausreise lebte, weshalb er dort über ein tragfähiges soziales Netz verfügt, welches ihn bei Bedarf mit der Gewährung von Wohnraum sowie bei der Stellensuche unterstützen könnte. Überdies hat der Beschwerdeführer ausdrücklich bestätigt, in seiner Heimat über ein soziales Netz zu verfügen (vgl. A21/16 S. 5 F. 53: "Ja, wenn man dort lebt, hat man natürlich Freunde."). Zudem verfügt er über Berufserfahrung als Autospengler (vgl. A10/11 S. 3). Seine Flexibilität, im Ausland berufstätig gewesen zu sein, sowie seine Bereitschaft, in die Schweiz zu reisen, lässt auf seine Fähigkeit schliessen, sich an veränderte Verhältnisse anzupassen. Somit kann davon ausgegangen werden, dass er sich in seiner Heimat auch in wirtschaftlicher Hinsicht integrieren und ein Auskommen finden kann, ohne auf die finanzielle Unterstützung seiner Mutter angewiesen zu sein, welche dem auf Beschwerdeebene eingereichten Arztzeugnis zufolge an Retinitis pigmentosa, einer unheilbaren Augenkrankheit, leidet. Damit liegen hinreichend günstige Umstände im Sinne der vorgenannten Rechtsprechung vor und es ist nicht anzunehmen, dass der Beschwerdeführer bei einer Rückkehr nach Herat in eine existenzielle Notlage geraten könnte. Schliesslich steht es dem Beschwerdeführer frei, beim BFM einen Antrag auf individuelle Rückkehrhilfe zu stellen (vgl. Art. 93 Abs. 1 Bst. d AsylG i.V.m. Art. 73 ff. der Asylverordnung 2 vom 11. August 1999 über Finanzierungsfragen [AsylV 2], SR 142.312 sowie die Weisungen des BFM vom 1. Januar 2008 betreffend Rückkehr- und Wiedereingliederungshilfe). Der Vollzug der Wegweisung ist somit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Das Gesuch um Verzicht auf die Erhebung eines Kostenvorschusses ist angesichts des Entscheides in der Hauptsache gegenstandslos gewor­den.</w:t>
      </w:r>
    </w:p>
    <w:p>
      <w:r>
        <w:rPr>
          <w:b/>
        </w:rPr>
        <w:t>E. 9.2</w:t>
      </w:r>
    </w:p>
    <w:p>
      <w:r>
        <w:t>Die Gesuche um Gewährung der unentgeltlichen Rechtspflege ge­mäss Art. 65 Abs. 1 VwVG sowie um unentgeltliche Verbeiständung sind abzuweisen, da die Beschwerde aufgrund der vorstehenden Erwägungen als aussichtslos erscheint.</w:t>
      </w:r>
    </w:p>
    <w:p>
      <w:r>
        <w:rPr>
          <w:b/>
        </w:rPr>
        <w:t>E. 10</w:t>
      </w:r>
    </w:p>
    <w:p>
      <w:r>
        <w:t>Bei diesem Ausgang des Verfahrens sind die Kosten dem Beschwerdeführer aufzuerlegen (Art. 63 Abs. 1 VwVG) und auf insgesamt Fr. 600. -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