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D-1185/2010 vom 8. März 2010</w:t>
      </w:r>
    </w:p>
    <w:p>
      <w:r>
        <w:t>Bundesverwaltungsgericht, 2010-03-08, DE</w:t>
      </w:r>
    </w:p>
    <w:p>
      <w:r>
        <w:rPr>
          <w:b/>
        </w:rPr>
        <w:t xml:space="preserve">Quelle: </w:t>
      </w:r>
      <w:r>
        <w:t>https://mcp.opencaselaw.ch/entscheid/bvger_D-1185_2010</w:t>
      </w:r>
    </w:p>
    <w:p>
      <w:r>
        <w:t>FR: TAF D-1185/2010 du 8 mars 2010</w:t>
      </w:r>
    </w:p>
    <w:p>
      <w:r>
        <w:t>IT: TAF D-1185/2010 del 8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Die Beschwerde ist frist- und - mit Ausnahme des genannten sprachlichen Mangels -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wurden die Beschwerdeführenden von der schweizerischen Vertretung in Bogotá zu ihrem Asylgesuch vom 2. Juni 2008 nicht befragt, da die Botschaft dazu gemäss Überweisungsschreiben vom 29. Juli 2008 aus gerichtsnotorischen und mithin nachvollziehbaren Kapazitätsgründen nicht in der Lage war; den Beschwerdeführenden wurde indessen mittels Schreiben der schweizerischen Vertretung vom 23. Juni 2008 und danach auch mit Zwischenverfügung des BFM vom 28. September 2009 Gelegenheit zur weiteren Konkretisierung ihrer Asylgründe sowie das rechtliche Gehör im Hinblick auf die in Erwägung gezogene Abweisung des Asylgesuches gewährt. Die Beschwerdeführenden haben von ihrem Recht auf Stellungnahme zwar keinen Gebrauch gemacht, doch der entscheidwesentliche Sachverhalt erscheint - wie das BFM in der angefochtenen Verfügung zu Recht ausführt - dessen ungeachtet angesichts der schriftlichen Ausführungen des Beschwerdeführers vom 28. Mai 2008 und vom 2. Juni 2008 sowie der von ihm zu den Akten gereichten Beweismittel als genüglich abgeklärt. Schliesslich hat das BFM in seiner Verfügung vom 14. Januar 2010 das Absehen von einer persönlichen Anhörung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die Tatsache, dass offenbar eine Cousine der Beschwerdeführerin in I._______ lebt, ändert daran nichts, da die Beschwerdeführenden in keiner Weise einen aktuellen Kontakt zu dieser Person manifestieren.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insbesondere einen der Nachbarstaaten Kolumbiens, zu begeben (vgl. EMARK 2004 Nr. 20 sowie 1997 Nr. 15, Erw.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allenfalls durch eine innerstaatliche Wohnsitzverlegung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8</w:t>
      </w:r>
    </w:p>
    <w:p>
      <w:r>
        <w:t>Bei diesem Ausgang des Verfahrens wären die Kosten von Fr. 600.--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