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D-1178/2015 vom 2. September 2015</w:t>
      </w:r>
    </w:p>
    <w:p>
      <w:r>
        <w:t>Bundesverwaltungsgericht, 2015-09-02, DE</w:t>
      </w:r>
    </w:p>
    <w:p>
      <w:r>
        <w:rPr>
          <w:b/>
        </w:rPr>
        <w:t xml:space="preserve">Quelle: </w:t>
      </w:r>
      <w:r>
        <w:t>https://mcp.opencaselaw.ch/entscheid/bvger_D-1178_2015</w:t>
      </w:r>
    </w:p>
    <w:p>
      <w:r>
        <w:t>FR: TAF D-1178/2015 du 2 septembre 2015</w:t>
      </w:r>
    </w:p>
    <w:p>
      <w:r>
        <w:t>IT: TAF D-1178/2015 del 2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Beschwerdeschrift machte die Beschwerdeführerin im Wesentlichen geltend, sie sei während der BzP verängstigt und beunruhigt gewesen. Was die Frage der Mitgliedschaft ihres verstorbenen Bruders anbelange, so sei sie davon ausgegangen, sein Tod stehe in Zusammenhang mit seiner Mitgliedschaft bei der Bewegung Ginbot 7 oder entsprechenden Sympathien. Im Weiteren sei Ginbot 7 damals nicht eine strukturierte Partei gewesen, sondern lediglich eine Bewegung. Die Partei Ginbot 7 sei erst im Jahre 1999 gegründet worden. Aktuell werde sogar die Mitgliedschaft bei der Ginbot 7 oder ONEG mit lebenslanger Haft oder dem Tode bestraft. Im Übrigen nehme die Beschwerdeführerin, seit sie in der Schweiz lebe, an allen möglichen politischen Bewegungen teil und unterstütze nach Möglichkeit die ESAT.</w:t>
      </w:r>
    </w:p>
    <w:p>
      <w:r>
        <w:rPr>
          <w:b/>
        </w:rPr>
        <w:t>E. 5.2</w:t>
      </w:r>
    </w:p>
    <w:p>
      <w:r>
        <w:t>Diese Vorbringen in der Beschwerdeschrift vermögen nicht zu einer veränderten Betrachtungsweise zu führen, zumal die von der Vorinstanz aufgeführten Unstimmigkeiten entgegen den Ausführungen in der Beschwerdeschrift nicht auf situationsbedingte Befindlichkeiten wie Verängstigung oder Beunruhigung während der BzP zurückzuführen sind. Vielmehr drängt sich angesichts der Vorbringen der Beschwerdeführerin der Eindruck auf, sie habe bei ihren Schilderungen nicht auf Erinnerungen an tatsächliche Begebenheiten zurückgreifen können und stattdessen den Versuch unternommen, eine Verfolgungssituation ad hoc zu erfinden. Dieser Schluss ergibt sich aus widersprüchlichen Tatsachenbehauptungen, die den Eindruck aufkommen lassen, die Beschwerdeführerin beantworte ein- und dieselbe Frage alle paar Minuten wieder etwas anders. So soll der Bruder der Beschwerdeführerin, folgt man ihren einleitenden Schilderungen zu den Gesuchsgründen, Mitglied der Partei Ginbot 7 gewesen sein (A4/11 Ziff. 7.01 S. 7). Wenige Fragen und Antworten danach verneinte sie hingegen die Frage, ob ihr Bruder Mitglied irgendeiner Partei gewesen sei, klipp und klar und verwies zur Begründung auf sein jugendliches Alter, sei er doch damals erst siebzehn Jahre alt gewesen (a.a.O. Ziff. 7.01 S. 9). Ungewöhnlich ist in diesem Zusammenhang ausserdem der Widerspruch zur Altersangabe anlässlich der Direktanhörung, soll er doch gemäss dieser zweiten Version zum Zeitpunkt seines Ablebens 21 Jahre alt gewesen sein (A9/21 F29 S. 4, F197 S. 17). Da sich die Altersangabe in beiden Fällen auf den Zeitpunkt des Ablebens bezieht, drängt sich nach dem Gesagten der Eindruck auf, bei diesem Bruder handle es sich um eine fiktive Person, zumal davon auszugehen ist, die Beschwerdeführerin hätte sich zuverlässig und übereinstimmend an das vom Bruder erreichte Lebensalter erinnern können, wenn sie in diesem Zusammenhang von Tatsachen zu berichten hätte. Der wirklichkeitsfremde Charakter der Vorbringen zeigt sich im Übrigen auch im Kontext mit ihren Ausführungen zur Partei Ginbot 7. So führte sie etwa zu ihren Aktivitäten als Sympathisantin dieser Partei aus, sie habe sich mit Personen dieser Partei getroffen und unter anderem Informationen ausgetauscht. Auf die Anschlussfrage, welche Ideen sie denn ausgetauscht hätten, machte sie geltend, sie hätten "über die Gespräche unserer Vorgesetzten" diskutiert und auch Gefangene besucht, obgleich dies nicht immer möglich gewesen sei (A4/11 Ziff. 7.01 S. 8). Die Frage ist nur, wie eine Sympathisantin dazu kommt, von Vorgesetzten zu sprechen, hat sie doch als Sympathisantin keine solchen. Auch in ihrem privaten Umfeld sind keine Vorgesetzten auszumachen, da sie auf eigene Rechnung gearbeitet hat. Darüber hinaus scheinen die geltend gemachten Gefangenenbesuche der anlässlich der Direktanhörung von der Beschwerdeführerin geltend gemachten Risikoaversion zu widersprechen, legte sie doch grossen Wert auf die Feststellung, es sei sehr gefährlich, Mitglied dieser Partei zu sein, und sie habe sie lediglich "heimlich, sehr heimlich" finanziell unterstützt (A9/21 F120 S.11, F101 S. 10). Angesichts derartiger Unstimmigkeiten kann die geltend gemachte Verfolgungssituation im Heimatstaat nicht geglaubt werden.</w:t>
      </w:r>
    </w:p>
    <w:p>
      <w:r>
        <w:rPr>
          <w:b/>
        </w:rPr>
        <w:t>E. 6</w:t>
      </w:r>
    </w:p>
    <w:p>
      <w:r>
        <w:t>Die Beschwerdeführerin beruft sich überdies auf ihr exilpolitisches Engagement und somit auf subjektive Nachfluchtgründe.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6.1</w:t>
      </w:r>
    </w:p>
    <w:p>
      <w:r>
        <w:t>Gemäss den Erkenntnissen des Bundesverwaltungsgerichts (vgl. Ur­teil E-705/2014 vom 6. März 2014 mit Hinweisen auf die Urteile D-5248/2008 vom 12. Februar 2009 und E-368/2009 vom 12. Februar 2009 sowie dort zitierte weitere Urteile) ist zwar davon auszugehen, die äthiopischen Sicherheitsbehörden würden die Aktivitäten der jeweiligen Exilgemeinschaften im Rahmen ihrer Möglichkeiten überwachen und mittels elektronischer Datenbanken registrieren. Dieser Umstand reicht für sich allein genommen indessen nicht aus, um eine begründete Ver­folgungsfurcht darzulegen. Vielmehr müssen zusätzliche, konkrete Anhaltspunkte - nicht nur eine abstrakte oder rein theoretische Möglichkeit - dafür vorliegen, dass eine exilpolitisch aktive äthiopische Staatsbürgerin tatsächlich das Interesse der äthiopischen Behörden auf sich gezogen hat und als regimefeindliche Person namentlich identifiziert und registriert worden ist. Als ausschlaggebendes Kriterium ist daher zu prüfen, ob das Verhalten der Beschwerdeführerin geeignet ist, sie als Regimekritikerin und damit als konkrete Bedrohung für das politische System Äthiopiens aufgrund einer exponierten politischen Tätigkeit erscheinen zu lassen.</w:t>
      </w:r>
    </w:p>
    <w:p>
      <w:r>
        <w:rPr>
          <w:b/>
        </w:rPr>
        <w:t>E. 6.2</w:t>
      </w:r>
    </w:p>
    <w:p>
      <w:r>
        <w:t>Dies ist vorliegend in Übereinstimmung mit den Ausführungen der Vorinstanz zu verneinen. Soweit aus den eingereichten Beweismitteln sowie den Ausführungen der Beschwerdeführerin ersichtlich, ist sie sowohl in quantitativer als auch in qualitativer Hinsicht lediglich marginal in Erscheinung getreten. Ihre Aktivitäten weisen daher eine zu geringe Intensität auf, um sie als ernsthafte Bedrohung für das politische System zu betrachten. Das Vorliegen subjektiver Nachfluchtgründe ist daher zu verneinen.</w:t>
      </w:r>
    </w:p>
    <w:p>
      <w:r>
        <w:rPr>
          <w:b/>
        </w:rPr>
        <w:t>E. 6.3</w:t>
      </w:r>
    </w:p>
    <w:p>
      <w:r>
        <w:t>Zusammenfassend ist somit festzuhalten, dass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Gemäss dem weiterhin gültigen Urteil BVGE 2011/25 vom 7. Juli 2011 ist der Wegweisungsvollzug nach Äthiopien grundsätzlich zumutbar (BVGE 2011/25 E. 8.3 und 8.4 S. 520 f.).</w:t>
      </w:r>
    </w:p>
    <w:p>
      <w:r>
        <w:rPr>
          <w:b/>
        </w:rPr>
        <w:t>E. 8.6</w:t>
      </w:r>
    </w:p>
    <w:p>
      <w:r>
        <w:t>Gemäss den Erwägungen des SEM sprechen weder allgemeine noch individuelle Gründe gegen die Zumutbarkeit des Wegweisungsvollzugs, habe doch die Beschwerdeführerin bis zu ihrer Ausreise aus Äthiopien im Jahre 2012 zusammen mit ihrer Mutter, Schwester und Nichte in einem gemeinsamen Haushalt gelebt. Obwohl sie lediglich bis zur 7. Klasse in die Schule gegangen sei, habe sie zusätzlich diverse Kurse (Computer, Englisch, Schuhreparatur-Crashkurs) besucht und sich mit dem Verkauf von Lebensmitteln den Lebensunterhalt verdient. Aus den Akten gingen keine gesundheitlichen Beschwerden hervor. Diese Feststellungen in der angefochtenen Verfügung werden in der Beschwerdeschrift nicht bestritten. Dementsprechend ist davon auszugehen, dass die Beschwerdeführerin über ein tragfähiges Beziehungsnetz verfügt, welches ihr eine soziale und wirtschaftliche Reintegration ermöglicht. Nach dem Gesagten erweist sich der Vollzug der Wegweisung auch als zumutbar.</w:t>
      </w:r>
    </w:p>
    <w:p>
      <w:r>
        <w:rPr>
          <w:b/>
        </w:rPr>
        <w:t>E. 8.7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