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D-1175/2025 vom 21. Januar 2025</w:t>
      </w:r>
    </w:p>
    <w:p>
      <w:r>
        <w:t>Bundesverwaltungsgericht, 2025-01-21, DE</w:t>
      </w:r>
    </w:p>
    <w:p>
      <w:r>
        <w:rPr>
          <w:b/>
        </w:rPr>
        <w:t xml:space="preserve">Quelle: </w:t>
      </w:r>
      <w:r>
        <w:t>https://mcp.opencaselaw.ch/entscheid/bvger_D-1175_2025_d20250121</w:t>
      </w:r>
    </w:p>
    <w:p>
      <w:r>
        <w:t>FR: TAF D-1175/2025 du 21 janvier 2025</w:t>
      </w:r>
    </w:p>
    <w:p>
      <w:r>
        <w:t>IT: TAF D-1175/2025 del 21 gennaio 2025</w:t>
      </w:r>
    </w:p>
    <w:p>
      <w:pPr>
        <w:pStyle w:val="Heading2"/>
      </w:pPr>
      <w:r>
        <w:t>Regeste</w:t>
      </w:r>
    </w:p>
    <w:p>
      <w:r>
        <w:t>Verweigerung vor&amp;uuml;bergehender Schutz | Verweigerung vorübergehender Schutz; Verfügung des SEM vom 21. Januar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und der Gewährung vorübergehenden Schutzes – in der Regel und auch hier – endgültig (Art. 72 i.V.m. Art. 105 AsylG [SR 142.31]; Art. 83 Bst. d Ziff. 1 BGG).</w:t>
      </w:r>
    </w:p>
    <w:p>
      <w:r>
        <w:t>D-1175/2025 Seite 5</w:t>
      </w:r>
    </w:p>
    <w:p>
      <w:r>
        <w:rPr>
          <w:b/>
        </w:rPr>
        <w:t>E. 1.2</w:t>
      </w:r>
    </w:p>
    <w:p>
      <w:r>
        <w:t>Das Verfahren richtet sich nach dem VwVG und dem VGG, soweit das AsylG nichts anderes bestimmt (Art. 37 VGG und Art. 6 AsylG).</w:t>
      </w:r>
    </w:p>
    <w:p>
      <w:r>
        <w:rPr>
          <w:b/>
        </w:rPr>
        <w:t>E. 2.1</w:t>
      </w:r>
    </w:p>
    <w:p>
      <w:r>
        <w:t>Das SEM versandte die Verfügung vom 21. Januar 2025 an die Ad- resse der Beschwerdeführerinnen. Diese Sendung wurde den Beschwer- deführerinnen von der Post am 22. Januar 2025 zur Abholung bis am 29. Januar 2025 gemeldet und – mangels Abholung – schliesslich dem SEM retourniert. Gemäss Zustellfiktion (vgl. Art. 20 Abs. 2bis VwVG) begann die Beschwerdefrist damit frühestens am 30. Januar 2025 zu laufen und endete am 1. März 2025. Die vorliegende Beschwerde erfolgte demnach jedenfalls rechtzeitig. Vor diesem Hintergrund kann die Frage, ob das SEM die angefochtene Verfügung korrekterweise an die Adresse der Beschwer- deführerinnen zugestellt hat oder, ob sie diese an die Rechtsvertretung hätte zustellen müssen, offengelassen werden, zumal die Beschwerdefüh- rerinnen eine rechtmässige Zustellung nicht in Frage stellen (vgl. dazu Ur- teil des BVGer D-2430/2022 vom 5. September 2023 E. 3.2).</w:t>
      </w:r>
    </w:p>
    <w:p>
      <w:r>
        <w:rPr>
          <w:b/>
        </w:rPr>
        <w:t>E. 2.2</w:t>
      </w:r>
    </w:p>
    <w:p>
      <w:r>
        <w:t>Die Beschwerde ist somit frist- und formgerecht eingereicht worden. Die Beschwerdeführerinnen haben am Verfahren vor der Vorinstanz teilge- nommen, sind durch die angefochtene Verfügung besonders berührt und haben ein schutzwürdiges Interesse an deren Aufhebung beziehungsweise Änderung. Sie sind daher zur Einreichung der Beschwerde legitimiert (Art. 72 i.V.m. Art. 108 Abs. 6 AsylG, Art. 48 Abs. 1 und Art. 52 Abs. 1 VwVG). Auf die Beschwerde ist einzutreten.</w:t>
      </w:r>
    </w:p>
    <w:p>
      <w:r>
        <w:rPr>
          <w:b/>
        </w:rPr>
        <w:t>E. 3</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Wie nachstehend aufgezeigt wird, han- delt es sich um ein solches Rechtsmittel, weshalb das Urteil nur summa- risch zu begründen ist (Art. 111 Bst. e und Art. 111a Abs. 2 i.V.m. Art. 72 AsylG).</w:t>
      </w:r>
    </w:p>
    <w:p>
      <w:r>
        <w:t>D-1175/2025 Seite 6 Gestützt auf Art. 111a Abs. 1 AsylG (i.V.m. Art. 72 AsylG) wurde auf die Durchführung eines Schriftenwechsels verzichtet.</w:t>
      </w:r>
    </w:p>
    <w:p>
      <w:r>
        <w:rPr>
          <w:b/>
        </w:rPr>
        <w:t>E. 5.1</w:t>
      </w:r>
    </w:p>
    <w:p>
      <w:r>
        <w:t>Gemäss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Zur Begründung seiner Verfügung führte das SEM aus, ein Gesuch um vorübergehenden Schutz werde abgelehnt, wenn die betroffene Person gestützt auf das Subsidiaritätsprinzip nicht auf den Schutz der Schweiz an- gewiesen sei. Dieser Grundsatz komme zum Tragen, wenn schutzsu- chende Personen über eine Schutzalternative verfügten. Die Beschwerde- führerinnen hätten in Polen einen gültigen Schutzstatus und verfügten</w:t>
      </w:r>
    </w:p>
    <w:p>
      <w:r>
        <w:t>D-1175/2025 Seite 7 damit über eine Schutzalternative in einem anderen Land, was durch die Zustimmung der polnischen Behörden zur Rückübernahme bestätigt werde. Sie seien damit wirksam vor der Kriegssituation in der Ukraine ge- schützt. An der mangelnden Schutzbedürftigkeit ändere auch eine allfällige Beendigung des Schutztitels aufgrund einer freiwilligen Ausreise aus dem betreffenden Staat nichts, vorausgesetzt, der Schutztitel könne wiederer- worben werden. Davon sei hier auszugehen, nachdem das Institut des vo- rübergehenden Schutzes im gesamten EU-Raum nach wie vor in Kraft sei. Hinsichtlich des Vollzugs der Wegweisung führte das SEM aus, es gebe keine Anhaltspunkte dafür, dass den Beschwerdeführerinnen in Polen eine menschenrechtswidrige Behandlung drohe. Sodann gelte die gesetzliche Vermutung, dass der Vollzug der Wegweisung in EU-Staaten zumutbar sei. Den Akten seien keine Belege für relevante Vollzugshindernisse betreffend eine Rückkehr der Beschwerdeführerinnen zu entnehmen. Der Beschwer- deführerin 1 sei es nach der Rückkehr nach Polen möglich, eine Arbeits- stelle zu finden. Soziale und wirtschaftliche Schwierigkeiten, von welchen die vor Ort ansässige Bevölkerung betroffen sei, stellten keine konkrete Gefährdung im Sinne von Art. 83 Abs. 4 AIG dar. Die Beschwerdeführerin- nen würden auch keine gesundheitlichen Beschwerden vorbringen. Es sei von einer raschen Wiedereingliederung der Beschwerdeführerinnen in die Gesellschaft in Polen auszugehen, da sie sich von (…) 2022 bis (…) 2023 dort aufgehalten hätten. Die Argumentation der Beschwerdeführerinnen, wonach sie in der Schweiz erste erfolgreiche Integrationsbemühungen un- ternommen hätten, sei mit Blick auf die Anordnung des Wegweisungsvoll- zugs unbeachtlich. Aus der Kinderrechtskonvention könne kein Anspruch auf Aufenthalt im Staat mit den für ein Kind vorteilhaftesten Lebensbedin- gungen abgeleitet werden. Bei der Prüfung des Kindeswohls stehe das grundlegende Bedürfnis von Kindern im Vordergrund, in möglichst engem Kontakt zu ihren Eltern aufwachsen zu können. Die Beschwerdeführerin- nen 2 und 3 könnten zusammen mit der Beschwerdeführerin 1 nach Polen ausreisen. Die Beschwerdeführerinnen 2 und 3 hätten die Möglichkeit, eine schulische und berufliche Ausbildung zu absolvieren. Bei Bedarf stünde ihnen auch die Inanspruchnahme sozialer Strukturen in Polen offen. Der Vollzug der Wegweisung sei auch unter dem Aspekt des Kindeswohls als zumutbar zu erachten. Es gelinge den Beschwerdeführerinnen daher nicht, die Vermutung der Zumutbarkeit des Wegweisungsvollzugs zu widerlegen.</w:t>
      </w:r>
    </w:p>
    <w:p>
      <w:r>
        <w:rPr>
          <w:b/>
        </w:rPr>
        <w:t>E. 6.2</w:t>
      </w:r>
    </w:p>
    <w:p>
      <w:r>
        <w:t>Die Beschwerdeführerinnen entgegneten in ihrer Beschwerde, dass sie zwar einen Aufenthaltsstatus in Polen erhalten hätten, aber aufgrund der Verhältnisse dort das Land wieder hätten verlassen mussten. Sie seien seit</w:t>
      </w:r>
    </w:p>
    <w:p>
      <w:r>
        <w:t>D-1175/2025 Seite 8 2023 in der Schweiz und die Beschwerdeführerinnen 2 und 3 hätten Un- terstützung erhalten und Ruhe gefunden. Der Verbleib in der Schweiz sei für die Gesundheit der Beschwerdeführerinnen 2 und 3 sowie ihre Entwick- lung sehr wichtig. Ein erneuter Umzug nach Polen hätte für sie schlimme Folgen. Die Beschwerdeführerin 1 könne sich in der Schweiz wesentlich besser um ihre Kinder kümmern. Sie hätten sich gut integriert und würden jede Gelegenheit nutzen, um sich eine stabile Lebensgrundlage aufzu- bauen. In Polen seien sie ständig unter Druck und in finanzieller Not gewe- sen. Die Grundversorgung der Beschwerdeführerinnen 2 und 3 habe nicht sichergestellt werden können. Polen habe viele Personen aufgenommen und das System sei überlastet. Programme und Leistungen seien gestri- chen worden. Die politische Lage und die gesellschaftliche Stimmung hät- ten sich gegen alle Flüchtlinge gedreht. Die Wegweisung nach Polen sei mit dem Kindeswohl nicht vereinbar.</w:t>
      </w:r>
    </w:p>
    <w:p>
      <w:r>
        <w:rPr>
          <w:b/>
        </w:rPr>
        <w:t>E. 7.1</w:t>
      </w:r>
    </w:p>
    <w:p>
      <w:r>
        <w:t>Die Beschwerdeführerinnen haben sich unbestrittenermassen von (…) 2022 bis (…) 2023 in Polen aufgehalten. Schliesslich reisten sie freiwillig aus Polen aus und ersuchten in der Schweiz um vorübergehenden Schutz. Auf entsprechende Anfrage des SEM stimmten die polnischen Behörden einer Rückübernahme der Beschwerdeführerinnen ausdrücklich zu.</w:t>
      </w:r>
    </w:p>
    <w:p>
      <w:r>
        <w:rPr>
          <w:b/>
        </w:rPr>
        <w:t>E. 7.2</w:t>
      </w:r>
    </w:p>
    <w:p>
      <w:r>
        <w:t>Das Bundesverwaltungsgericht kam in BVGE 2022 VI/I zum Schluss, dass das Subsidiaritätsprinzip des asylrechtlichen Schutzes auch in Bezug auf die Gewährung des vorübergehenden Schutzes anzuwenden ist. Mit anderen Worten sind ukrainische Staatsbürgerinnen und Staatsbürger in Verfahren um Gewährung vorübergehenden Schutzes, welche gemäss Ziff. I Bst. a der Allgemeinverfügung vor dem 24. Februar 2022 in der Uk- raine wohnhaft gewesen sind, nicht auf den Schutz der Schweiz angewie- sen und gelten entsprechend nicht als schutzbedürftig im Sinne von Art. 4 AsylG, wenn sie über eine valable Schutzalternative ausserhalb der Ukra- ine verfügen (vgl. hierzu BVGE 2022 VI/I E. 6.2 f.). Aufgrund der Tatsache, dass sich die Beschwerdeführerinnen bis zu ihrer Ausreise von Polen in die Schweiz im (…) 2023 legal in Polen aufgehalten haben (Schutzstatus) und Polen ihrer Rückübernahme zugestimmt hat, verfügen die Beschwerdeführerinnen in Polen über eine valable Schutzal- ternative und können dorthin zurückkehren und sofern nötig, erneut um ei- nen Schutz- respektive Aufenthaltstitel ersuchen.</w:t>
      </w:r>
    </w:p>
    <w:p>
      <w:r>
        <w:t>D-1175/2025 Seite 9</w:t>
      </w:r>
    </w:p>
    <w:p>
      <w:r>
        <w:rPr>
          <w:b/>
        </w:rPr>
        <w:t>E. 7.3</w:t>
      </w:r>
    </w:p>
    <w:p>
      <w:r>
        <w:t>Nach dem Gesagten ist festzustellen, dass das SEM das Gesuch der Beschwerdeführerinnen um Gewährung vorübergehenden Schutzes zu Recht abgelehnt hat.</w:t>
      </w:r>
    </w:p>
    <w:p>
      <w:r>
        <w:rPr>
          <w:b/>
        </w:rPr>
        <w:t>E. 8</w:t>
      </w:r>
    </w:p>
    <w:p>
      <w:r>
        <w:t>Lehnt das SEM ein Gesuch um Gewährung vorübergehenden Schutzes ab, verfügt es in der Regel die Wegweisung aus der Schweiz und ordnet den Vollzug an (vgl. Art. 69 Abs. 4 AsylG). Die Beschwerdeführerinnen ver- fügen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w:t>
      </w:r>
    </w:p>
    <w:p>
      <w:r>
        <w:t>D-1175/2025 Seite 10 EMRK darf niemand der Folter oder unmenschlicher oder erniedrigender Strafe oder Behandlung unterworfen werden.</w:t>
      </w:r>
    </w:p>
    <w:p>
      <w:r>
        <w:rPr>
          <w:b/>
        </w:rPr>
        <w:t>E. 9.2.3</w:t>
      </w:r>
    </w:p>
    <w:p>
      <w:r>
        <w:t>Die Beschwerdeführerinnen haben in der Schweiz kein Asylgesuch gestellt. Den Akten sind auch keine Hinweise auf eine Verletzung des flüchtlingsrechtlichen Refoulement-Verbots zu entnehmen. Zudem hat Po- len die Rückübernahme zugesichert. Anhaltspunkte für eine drohende menschenrechtswidrige Behandlung in Polen im Sinne von Art. 25 Abs. 3 BV, Art. 3 FoK und der Praxis zu Art. 3 EMRK sind – in Einklang mit dem SEM – nicht ersichtlich. In der Beschwerde wird nicht weiter begründet, inwiefern den Beschwerdeführerinnen dort eine unmenschliche oder er- niedrigende Behandlung drohen könnte. Von einer solchen Gefahr ist nicht auszugehen. Der Vollzug der Wegweisung erweist sich daher als zulässig im Sinne von Art. 83 Abs. 3 AIG.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Vorliegend gelingt es den Beschwerdeführerinnen mit ihren Ausfüh- rungen zu ihrer persönlichen, familiären und wirtschaftlichen Situation nicht, die gesetzliche Vermutung von Art. 83 Abs. 5 AIG zu erschüttern, wonach der Vollzug in einen EU- oder EFTA-Staat in der Regel als zumut- bar erachtet wird (vgl. Anhang 2 der Verordnung über den Vollzug der Weg- und Ausweisung sowie der Landesverweisung von ausländischen Perso- nen vom 11. August 1999 [VVWAL; SR 142.281]). Vor ihrer Reise in die Schweiz hielten sich die Beschwerdeführerinnen rund eineinhalb Jahre lang in Polen auf, ohne dabei in eine existenzielle Notlage geraten zu sein. Den Akten lassen sich auch keine Hinweise auf gravierende gesundheitli- che Probleme entnehmen, welche einem Vollzug der Wegweisung entge- genstehen könnten. Schliesslich sind die vorinstanzlichen Ausführungen zum Kindeswohl vollumfänglich zu bestätigen. Der Vollzug der Wegwei- sung erweist sich demnach als zumutbar.</w:t>
      </w:r>
    </w:p>
    <w:p>
      <w:r>
        <w:rPr>
          <w:b/>
        </w:rPr>
        <w:t>E. 9.4</w:t>
      </w:r>
    </w:p>
    <w:p>
      <w:r>
        <w:t>Die Beschwerdeführerinnen sind sodann im Besitz eines gültigen ukra- inischen Reisepasses, weshalb auch von der Möglichkeit des Wegwei- sungsvollzugs auszugehen ist (Art. 83 Abs. 2 AIG).</w:t>
      </w:r>
    </w:p>
    <w:p>
      <w:r>
        <w:t>D-1175/2025 Seite 11</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im Lichte von Art. 106 Abs. 1 AsylG und Art. 49 VwVG nicht zu beanstanden ist. Es besteht auch keine Veranlassung, die Sache für weitere Abklärun- gen an die Vorinstanz zurückzuweisen. Die Beschwerde ist abzuweisen.</w:t>
      </w:r>
    </w:p>
    <w:p>
      <w:r>
        <w:rPr>
          <w:b/>
        </w:rPr>
        <w:t>E. 11.1</w:t>
      </w:r>
    </w:p>
    <w:p>
      <w:r>
        <w:t>Das Gesuch um Verzicht auf die Erhebung eines Kostenvorschusses wird mit vorliegendem Entscheid in der Sache gegenstandslos.</w:t>
      </w:r>
    </w:p>
    <w:p>
      <w:r>
        <w:rPr>
          <w:b/>
        </w:rPr>
        <w:t>E. 11.2</w:t>
      </w:r>
    </w:p>
    <w:p>
      <w:r>
        <w:t>Bei diesem Ausgang des Verfahrens sind die Kosten den Beschwer- deführerinnen aufzuerlegen (Art. 63 Abs. 1 VwVG) und auf insgesamt Fr. 750.– festzusetzen (Art. 1–3 des Reglements vom 21. Februar 2008 über die Kosten und Entschädigungen vor dem Bundesverwaltungsgericht [VGKE, SR 173.320.2]).</w:t>
      </w:r>
    </w:p>
    <w:p>
      <w:r>
        <w:t>(Dispositiv nächste Seite)</w:t>
      </w:r>
    </w:p>
    <w:p>
      <w:r>
        <w:t>D-1175/2025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