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D-1169/2014 vom 30. April 2014</w:t>
      </w:r>
    </w:p>
    <w:p>
      <w:r>
        <w:t>Bundesverwaltungsgericht, 2014-04-30, DE</w:t>
      </w:r>
    </w:p>
    <w:p>
      <w:r>
        <w:rPr>
          <w:b/>
        </w:rPr>
        <w:t xml:space="preserve">Quelle: </w:t>
      </w:r>
      <w:r>
        <w:t>https://mcp.opencaselaw.ch/entscheid/bvger_D-1169_2014</w:t>
      </w:r>
    </w:p>
    <w:p>
      <w:r>
        <w:t>FR: TAF D-1169/2014 du 30 avril 2014</w:t>
      </w:r>
    </w:p>
    <w:p>
      <w:r>
        <w:t>IT: TAF D-1169/2014 del 30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mit Ausnahme der Absätze 2-4 für die im Zeitpunkt des Inkrafttretens hängigen Verfahren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am 1. Februar 2014 in Kraft getreten).</w:t>
      </w:r>
    </w:p>
    <w:p>
      <w:r>
        <w:rPr>
          <w:b/>
        </w:rPr>
        <w:t>E. 4.2.2</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in Übereinstimmung mit der Vorinstanz festzustellen, dass die Asylvorbringen des Beschwerdeführers den Anforderungen an die Glaubhaftigkeit gemäss Art. 7 AsylG nicht standzuhalten vermögen, weshalb diesbezüglich vorab auf die zutreffenden Erwägungen der Vorinstanz in der angefochtenen Verfügung zu verweisen ist (vgl. Bst. D. vorstehend). Der Rechtsmitteleingabe sind keine stichhaltigen Entgegnungen zu entnehmen, zumal der Beschwerdeführer lediglich bestreitet, sich widersprochen zu haben, und die aufgezeigten Unstimmigkeiten unter anderem auf seine Unfähigkeiten, mit Daten umgehen zu können, auf Missverständnisse sowie auf unwesentlichen Abweichungen seiner ausführlicheren Darstellung bei der Anhörung zurückführt. Diese Bestreitungsversuche sind jedoch nicht geeignet, die aufgezeigten Unstimmigkeiten auszuräumen oder aufzuklären. Unerklärlich ist vor allem, dass der Beschwerdeführer seinen Angaben bei der Kurzbefragung zufolge von den drei Angreifern mit einem Stein am linken Ohr verletzt worden sein will (vgl. A6/11 S. 6), währendem ihm seinen Aussagen bei der Anhörung zufolge die Angreifer am rechten Ohr mit einem Gegenstand einen Verletzung zugefügt hätten, die man hätte nähen müssen (vgl. A12/31 S. 18 F. 212 und S. 26 F. 313). Im Übrigen hat auch die Hilfswerkvertretung ausdrücklich festgehalten, der Beschwerdeführer sei nicht in der Lage gewesen, konkrete und korrekte Angaben zu Daten, Jahreszahlen und Zeitspannen zu machen (vgl. A12/31 S. 31). Seinen Aussagen zufolge will der Beschwerdeführer seit mehreren Jahren zum Christentum konvertiert haben, dennoch sind seine Kenntnisse im Zusammenhang mit der christlichen Glaubenslehre von eklatantem Nichtwissen gekennzeichnet. Um Wiederholungen zu vermeiden kann diesbezüglich auf die vorstehenden Ausführungen unter Bst. D.c in fine verwiesen werden. Es ist davon auszugehen, dass der Beschwerdeführer zumindest über das Osterfest einige rudimentäre Angaben hätte machen können, wenn er sich - wie behauptet, tatsächlich seit Jahren zum Christentum zugewandt hätte oder sich wirklich ernsthaft für das Christentum interessieren würde. Zusammenfassend ist es dem Beschwerdeführer nicht gelungen, die von ihm vorgebrachten Vorfluchtgründe im Sinne von Art. 3 AsylG nachzuweisen oder glaubhaft zu machen. Somit hat die Vorinstanz in diesem Punkt zu Recht das Gesuch des Beschwerdeführers um Gewährung von Asyl abgewiesen.</w:t>
      </w:r>
    </w:p>
    <w:p>
      <w:r>
        <w:rPr>
          <w:b/>
        </w:rPr>
        <w:t>E. 5.2</w:t>
      </w:r>
    </w:p>
    <w:p>
      <w:r>
        <w:t>Der Beschwerdeführer macht weiter das Vorliegen subjektiver Nach­fluchtgründe im Sinn von Art. 54 AsylG geltend, indem er vorbringt, er habe sich in der Schweiz am 22. Juni 2013 taufen lassen und besuche regelmässig die Gottesdienste der Persischen Christlichen Gemeinde in C._______. Seinen Angaben zufolge, sind an den erwähnten Gottesdiensten jeweils ungefähr 40 aus dem Iran und Afghanistan stammende Gläubige anwesend. Bei einer Rückkehr nach Afghanistan würde er deshalb von den afghanischen Behörden als auch von den Taliban als Abtrünniger angesehen, dabei mache ihn sein langer Auslandsaufenthalt noch verdächtiger.</w:t>
      </w:r>
    </w:p>
    <w:p>
      <w:r>
        <w:rPr>
          <w:b/>
        </w:rPr>
        <w:t>E. 5.3.1</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5.3.2</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6</w:t>
      </w:r>
    </w:p>
    <w:p>
      <w:r>
        <w:t>Eine Person, die subjektive Nachfluchtgründe geltend gemacht,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müssen.</w:t>
      </w:r>
    </w:p>
    <w:p>
      <w:r>
        <w:rPr>
          <w:b/>
        </w:rPr>
        <w:t>E. 6.1</w:t>
      </w:r>
    </w:p>
    <w:p>
      <w:r>
        <w:t>Gemäss öffentlich zugänglichen Quellen sind weniger als 1% der Bevölkerung Afghanistans Christen (84% sind sunnitische und 15% sind schiitische Muslime). Bei afghanischen Christen handelt es sich im Wesentlichen um vom Islam zum Christentum konvertierte Personen. Für sie gibt es keine Möglichkeit der offenen Religionsausübung ausserhalb des häuslichen Rahmens. Auch ausländische Christen üben ihre Religion grundsätzlich zurückhaltend aus. Afghanen, die verdächtigt oder beschul­digt werden, vom Islam zum Christentum übergetreten zu sein, können einem Verfolgungsrisiko ausgesetzt sein. Das Risiko geht dabei von Familien- und Sippenmitgliedern wie auch von Angehörigen der weiteren Gemeinschaft aus. Auch Übergriffe von staatlicher Seite gegen Konverti­ten sind denkbar. In Kabul und im ganzen Land wird heute praktisch wie­der nach der Scharia geurteilt, nach der "Abtrünnige vom Islam" streng bestraft werden. Die Verhältnisse in den Provinzen sind nicht anders. Je nach Interpretation der Scharia können Konvertiten auch mit dem Tode bestraft werden (vgl. Urteil des Bundesverwaltungsgerichts D-4981/2013 vom 4. Dezember 2013 E. 7.4 m.w.H.).</w:t>
      </w:r>
    </w:p>
    <w:p>
      <w:r>
        <w:rPr>
          <w:b/>
        </w:rPr>
        <w:t>E. 6.2</w:t>
      </w:r>
    </w:p>
    <w:p>
      <w:r>
        <w:t>Trotz dieser Feststellungen kann nicht von einer allgemeinen, alleine an das Bekenntnis zum Christentum anknüpfenden Verfolgungssituation im Sinne einer Kollektivverfolgung ausgegangen werden. Die Anforderun­gen an die Feststellung einer Kollektivverfolgung sind,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 Zeit in Afghanistan nicht vor. Namentlich geht auch das UNHCR nicht von einer Kollektivverfolgung aus, sondern betont die Notwendigkeit der individuellen Prüfung in jedem Fall, ob konkret eine Gefährdung aufgrund der Konversion bestehe (vgl. dazu insbesondere UNHCR Eligibility Guidelines for Assessing the International Protection Needs of Asylum-Seekers from Afghanistan, 6. August 2013, S. 47). An dieser Einschätzung vermögen auch die diesbezüglichen Vorbringen in der Rechtsmittelschrift nichts zu ändern.</w:t>
      </w:r>
    </w:p>
    <w:p>
      <w:r>
        <w:rPr>
          <w:b/>
        </w:rPr>
        <w:t>E. 6.3</w:t>
      </w:r>
    </w:p>
    <w:p>
      <w:r>
        <w:t>Vorliegend ergeben sich aufgrund der Aktenlage keine hinreichenden konkreten Anhaltspunkte auf eine begründete Furcht vor künftiger Verfol­gung wegen der geltend gemachten Konversion (vgl. EMARK 2001 Nr. 1 E. 6a S. 9 f.). Es ist dem Beschwerdeführer nicht gelungen darzutun, dass die vorgebrachte Konversion überhaupt jemandem in Afghanistan, wo er eigenen Angaben zufolge seit dem Jahr 2009 nicht mehr gelebt hat, bekannt geworden wäre. An dieser Einschätzung ändert auch seine Aus­sage auf Beschwerdeebene nichts, wonach die von ihm in der Schweiz besuchten Gottesdienste auch von anderen Afghanen und Iranern be­sucht werden würden, die seine Konversion in Afghanistan preisgeben könnten, zumal dieses Vorbringen in keiner Weise belegt ist und nicht nachvollziehbar ist, weshalb sich ein Konvertit gegenüber einem anderen Konvertiten derart verhalten sollte.</w:t>
      </w:r>
    </w:p>
    <w:p>
      <w:r>
        <w:rPr>
          <w:b/>
        </w:rPr>
        <w:t>E. 6.4</w:t>
      </w:r>
    </w:p>
    <w:p>
      <w:r>
        <w:t>Zusammenfassend ergibt sich, dass auch die geltend gemachten subjektiven Nachfluchtgründe keine Flüchtlingseigenschaft des Beschwerdeführers im Sinne von Art. 3 AsylG zu begründen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Ausländergesetz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 124-127, mit weiteren Hinweisen).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Bundesverwaltungsgericht hat im Urteil BVGE 2011/7 eine Ana­lyse der Lage in Afghanistan vorgenommen. Dabei ist es zum Schluss ge­kommen, dass die dortige Sicherheitslage und die humanitäre Situation derart schlecht sei, dass - ausser allenfalls in Grossstädten - von einer existenzbedrohenden Situation im Sinne von Art. 83 Abs. 4 AuG auszuge­hen sei. Ausnahme bilde die Stadt Kabul, in welcher die Sicherheitslage weniger bedrohlich und die humanitäre Situation weniger dramatisch sei als in anderen Gebieten. Ein Vollzug der Wegweisung in die Stadt Kabul sei daher nicht generell unzumutbar, sondern könne unter begünstigen­den Umständen (junger Mann, tragfähiges soziales Netz, konkrete Möglichkeit der Sicherung des Existenzminimums und einer gesicherten Wohnsituation) als zumutbar erachtet werden. Offengelassen wurde im Urteil ausdrücklich, ob betreffend die Städte Herat und Mazar-i-Sharif in gleicher Weise zu entscheiden wäre (BVGE a.a.O., E. 9.91 ff.). Im Urteil BVGE 2011/38 hat sich das Gericht zur Lage in Herat geäussert. Es hat festgestellt, dass die dortige Sicherheitslage und die humanitäre Situation aktuell weniger bedrohlich sei als in den übrigen Landesteilen Afghanistans. Unter der Voraussetzung begünstigender Umstände (siehe vorstehend) sei der Vollzug nach Herat daher zumutbar (BVGE a.a.O.E. 4.3.1 ff.).</w:t>
      </w:r>
    </w:p>
    <w:p>
      <w:r>
        <w:rPr>
          <w:b/>
        </w:rPr>
        <w:t>E. 8.6</w:t>
      </w:r>
    </w:p>
    <w:p>
      <w:r>
        <w:t>Auf Beschwerdeebene macht der Beschwerdeführer geltend, er ver­füge in Herat nicht mehr über ein tragfähiges soziales Netz. Sein Vater sei am 23. November 2011 verstorben, sein jüngster Bruder habe sich in den Iran begeben und seine Mutter lebe in Herat in bescheidenen Verhältnis­sen. Sie werde von Verwandten finanziell unterstützt und leide an Retini­tis pigmentosa, einer unheilbaren Augenkrankheit. Dies gehe auch aus dem eingereichten Arztzeugnis hervor. Sie könne somit nicht für ihn auf­kommen. Er wiederum habe nur eine sehr knappe Ausbildung als Journa­list absolviert und nur kurz auf diesem Beruf gearbeitet, weshalb sich eine entsprechenden Stellensuche in Herat schwierig ausgestalten würde.</w:t>
      </w:r>
    </w:p>
    <w:p>
      <w:r>
        <w:rPr>
          <w:b/>
        </w:rPr>
        <w:t>E. 8.7</w:t>
      </w:r>
    </w:p>
    <w:p>
      <w:r>
        <w:t>Seinen Angaben zufolge lebte der junge - und soweit den Akten zu entnehmen ist - gesunde Beschwerdeführer seit seiner Geburt bis zu sei­ner Ausreise im Frühjahr 2009 in Herat. Folglich ist er mit den dortigen Lebensumständen bestens vertraut. Nach seinen Angaben lebt seine Mutter mit seiner jüngsten Schwester in einem eigenen Haus (vgl. A6/11 S. 4; A12/31 S. 5 F. 41). Seine älteste Schwester sei verheiratet und lebe mit ihrem Ehemann, der als Fahrer tätig sei, ebenfalls in Herat in einem eigenen Haus. Ferne lebe sein Onkel, ein verheirateter Cousin seiner Mutter, in Herat. Dieser besitze eine Bäckerei und bewohne auch ein Eigenheim (vgl. A12/31 S. 53 ff.). Somit besteht in Herat ein soziales Netz des Beschwerdeführers, wo er zwölf Jahre die Schule besucht und danach eine Ausbildung zum Journalisten absolviert hat. Während seines Aufenthalts im Iran hat er in einer Schneiderei und in einem Karosseriegeschäft gearbeitet (vgl. A12/31 S. 26 F. 307). Seine Flexibilität, auch im Ausland berufstätig gewesen zu sein, sowie seine Bereitschaft, in die Schweiz zu reisen, lässt auf seine Fähigkeit schliessen, sich an veränderte Verhältnisse anzupassen. Seinen Angaben zufolge will er ausserdem, solange er in Herat als Journalist gearbeitet habe, nicht nur seinen Lebensunterhalt bestritten, sondern auch noch seine Familie finanziell unterstützen haben (vgl. A12/31 S. 9 F. 103), weshalb zu schliessen ist, er könne sich, entgegen den anderslautenden Vorbringen auf Beschwerdeebene, in seiner Heimat auch in wirtschaftlicher Hinsicht wieder integrieren und ein Auskommen finden, ohne auf die finanzielle Unterstützung seiner Mutter angewiesen zu sein. Damit liegen hinreichend günstige Umstände im Sinne der vorgenannten Rechtsprechung vor und es ist nicht anzunehmen, dass der Beschwerdeführer bei einer Rückkehr nach Herat in eine existenzielle Notlage geraten könnte. Schliesslich steht es dem Beschwerdeführer frei, beim BFM einen Antrag auf individuelle Rückkehrhilfe zu stellen (vgl. Art. 93 Abs. 1 Bst. d AsylG i.V.m. Art. 73 ff. der Asylverordnung 2 vom 11. August 1999 über Finanzierungsfragen [AsylV 2], SR 142.312 sowie die Weisungen des BFM vom 1. Januar 2008 betreffend Rückkehr- und Wiedereingliederungshilfe). Der Vollzug der Wegweisung ist somit zumutbar.</w:t>
      </w:r>
    </w:p>
    <w:p>
      <w:r>
        <w:rPr>
          <w:b/>
        </w:rPr>
        <w:t>E. 8.8</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 .</w:t>
      </w:r>
    </w:p>
    <w:p>
      <w:r>
        <w:rPr>
          <w:b/>
        </w:rPr>
        <w:t>E. 8.9</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Das Gesuch um Verzicht auf die Erhebung eines Kostenvorschus­ses ist angesichts des Entscheides in der Hauptsache gegenstandslos geworden.</w:t>
      </w:r>
    </w:p>
    <w:p>
      <w:r>
        <w:rPr>
          <w:b/>
        </w:rPr>
        <w:t>E. 10.2</w:t>
      </w:r>
    </w:p>
    <w:p>
      <w:r>
        <w:t>Die Gesuche um Gewährung der unentgeltlichen Rechtspflege ge­mäss Art. 65 Abs. 1 VwVG sowie um unentgeltliche Verbeiständung sind abzuweisen, da die Beschwerde aufgrund der vorstehenden Erwägungen als aussichtslos erscheint.</w:t>
      </w:r>
    </w:p>
    <w:p>
      <w:r>
        <w:rPr>
          <w:b/>
        </w:rPr>
        <w:t>E. 11</w:t>
      </w:r>
    </w:p>
    <w:p>
      <w:r>
        <w:t>Bei diesem Ausgang des Verfahrens sind die Kosten dem Beschwerde­führer aufzuerlegen (Art. 63 Abs. 1 VwVG) und auf insgesamt Fr. 600. -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