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D-1165/2013 vom 24. April 2013</w:t>
      </w:r>
    </w:p>
    <w:p>
      <w:r>
        <w:t>Bundesverwaltungsgericht, 2013-04-24, DE</w:t>
      </w:r>
    </w:p>
    <w:p>
      <w:r>
        <w:rPr>
          <w:b/>
        </w:rPr>
        <w:t xml:space="preserve">Quelle: </w:t>
      </w:r>
      <w:r>
        <w:t>https://mcp.opencaselaw.ch/entscheid/bvger_D-1165_2013</w:t>
      </w:r>
    </w:p>
    <w:p>
      <w:r>
        <w:t>FR: TAF D-1165/2013 du 24 avril 2013</w:t>
      </w:r>
    </w:p>
    <w:p>
      <w:r>
        <w:t>IT: TAF D-1165/2013 del 24 aprile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Die Beschwerde richtet sich gemäss den Rechtsbegehren (vgl. Ziffer 2 der Anträge) und der Begründung ausschliesslich gegen den Vollzug der von der Vorinstanz verfügten Wegweisung. Die Verfügung des BFM vom 30. Januar 2013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 abgesehen von der formellen Rüge - lediglich die Frage, ob das Bundesamt den Vollzug der Wegweisung zu Recht als zulässig, zumutbar und möglich erklärt hat.</w:t>
      </w:r>
    </w:p>
    <w:p>
      <w:r>
        <w:rPr>
          <w:b/>
        </w:rPr>
        <w:t>E. 5.1</w:t>
      </w:r>
    </w:p>
    <w:p>
      <w:r>
        <w:t>Der Beschwerdeführer macht in formeller Hinsicht geltend, die Vorinstanz habe seinen Anspruch auf rechtliches Gehör verletzt, da sie, nachdem er ihr mit Schreiben vom 15. August 2012 mitgeteilt habe, dass er vom Dolmetscher anlässlich der Anhörung mehrmals der Lüge bezichtigt worden sei, den Dolmetscher nicht mit den Vorwürfen konfrontiert und von diesem keine Stellungnahme einverlangt habe. Die Vorinstanz sei diesem Einwand nicht genügend auf den Grund gegangen, weshalb die Anhörung zu wiederholen sei, da dieser Mangel nicht im Beschwerdeverfahren geheilt werden könne.</w:t>
      </w:r>
    </w:p>
    <w:p>
      <w:r>
        <w:rPr>
          <w:b/>
        </w:rPr>
        <w:t>E. 5.2</w:t>
      </w:r>
    </w:p>
    <w:p>
      <w:r>
        <w:t>Diese verfahrensrechtliche Rüge ist vorab zu prüfen, da sie allenfalls geeignet wäre, eine Kassation der vorinstanzlichen Verfügung zu bewirken (vgl. EMARK 2004 Nr. 38 und 1994 Nr. 1; Alfred Kölz/Isabelle Häner, Verwaltungsverfahren und Verwaltungsrechtspflege des Bundes; 2. Aufl., Zürich 1998, S. 225, mit weiteren Hinweisen).</w:t>
      </w:r>
    </w:p>
    <w:p>
      <w:r>
        <w:rPr>
          <w:b/>
        </w:rPr>
        <w:t>E. 5.3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5.4</w:t>
      </w:r>
    </w:p>
    <w:p>
      <w:r>
        <w:t>Bezüglich der geltend gemachten Verletzung des rechtlichen Gehörs ist Folgendes festzuhalten: Im Anhörungsprotokoll sind keinerlei Hinweise vorhanden, welche darauf hindeuten, dass der Dolmetscher den Beschwerdeführer anlässlich der Anhörung mehrmals der Lüge bezichtigt hat, wie das vom Beschwerdeführer vorgebracht wird. Diesbezüglich ist darauf hinzuweisen, dass der Beschwerdeführer die Richtigkeit und Vollständigkeit des Anhörungsprotokolls mit seiner Unterschrift bestätigt hat, weshalb er sich dessen Inhalt grundsätzlich entgegenhalten lassen muss, zumal er den Dolmetscher bei der Anhörung "ausgezeichnet" verstanden haben will (vgl. BFM-Akten A 65/16 S. 1). Im Weiteren ist festzustellen, dass die an der Anhörung anwesende Hilfswerkvertretung auf ihrem Unterschriftenblatt in Bezug auf die Beobachtung der Anhörung keine Bemerkungen und Einwände angebracht hat (vgl. A 65/16 S. 16), was zweifellos der Fall gewesen wäre, hätte der Dolmetscher dem Beschwerdeführer anlässlich der Anhörung tatsächlich mehrmals vorgeworfen, die Unwahrheit zu sagen, da der Hilfswerkvertretung ein solches Verhalten des Dolmetschers mit Sicherheit nicht entgangen wäre. Nach dem Gesagten ist die Behauptung des Beschwerdeführers, wonach ihn der Dolmetscher anlässlich der Anhörung mehrmals der Lüge bezichtigt habe, lediglich als Schutzbehauptung zu werten. An dieser Einschätzung ändern auch die Äusserungen der Hilfswerkvertretung auf Seite vier des von ihr verfassten Berichts nichts, zumal dort mit keinem Wort erwähnt wird, der Beschwerdeführer habe ihr gegenüber gesagt, der Dolmetscher habe ihn der Lüge bezichtigt. Daher hat die Vorinstanz die vom Beschwerdeführer im Schreiben vom 15. August 2012 vorgebrachten Ablehnungsgründe gegen den Dolmetscher zu Recht als unbegründet erachtet und diesbezüglich auf weitere Abklärungen verzichtet. Folglich erweist sich die vom Beschwerdeführer erhobene Rüge, die Vorinstanz habe seinen Anspruch auf Gewährung des rechtlichen Gehörs verletzt, als nicht stichhaltig, weshalb der Antrag, seine Anhörung sei unter Beizug eines anderen Dolmetschers zu wiederholen, abzuweisen ist. Bei dieser Sachlage besteht somit keine Veranlassung, die angefochtene Verfügung aus formellen Gründen aufzuheben.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6.2.2</w:t>
      </w:r>
    </w:p>
    <w:p>
      <w:r>
        <w:t>Da rechtskräftig feststeht, dass es dem Beschwerdeführer nicht gelungen ist, eine asylrechtlich erhebliche Gefährdung nachzuweisen oder glaubhaft zu machen, kann das in Art. 5 AsylG verankerte Prinzip des flüchtlingsrechtlichen Non-Refoulement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jedoch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Betreffend die allgemeine Lage in Afghanistan ist auf das weiterhin zutreffende Grundsatzurteil BVGE 2011/7 vom 16. Juni 2011 zu verweisen, zumal sich auch den in der Beschwerde erwähnten Berichten bezüglich der Situation in Afghanistan keine wesentlich andere Beurteilung der Lage entnehmen lässt. Nach eingehender Lageanalyse stellte das Bundesverwaltungsgericht in BVGE 2011/7 fest, dass die Sicherheitslage sowie die humanitären Bedingungen in weiten Teilen Afghanistans - ausser allenfalls in den Grossstädten - äusserst schlecht seien, weshalb die Situation in Afghanistan praktisch flächendeckend als existenzbedrohend im Sinne von Art. 83 Abs. 4 AuG zu qualifizieren sei. Von dieser allgemeinen Feststellung sei die Lage in der Hauptstadt Kabul zu unterscheiden. Angesichts dessen, dass dort die Sicherheitslage weniger bedrohlich als in den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BVGE a.a.O. E. 9.9).</w:t>
      </w:r>
    </w:p>
    <w:p>
      <w:r>
        <w:rPr>
          <w:b/>
        </w:rPr>
        <w:t>E. 6.3.3</w:t>
      </w:r>
    </w:p>
    <w:p>
      <w:r>
        <w:t>Der gemäss den Akten heute knapp (...) Beschwerdeführer stammt nach eigenen Aussagen aus der Stadt Kabul, wo er von Geburt - mit Ausnahme der Jahre 1992 bis 2001 - bis zu seiner Ausreise Ende 2008 zusammen mit seiner Familie gewohnt hat. Die Familie besitze Häuser und Läden in Kabul (A 65/16 S. 3). Anlässlich der Kurzbefragung machte der Beschwerdeführer geltend, seine Eltern sowie seine (...) Geschwister hätten zuletzt alle in Kabul gewohnt; seine Eltern beabsichtigten ebenfalls, das Land zu verlassen (A 1/11 S. 3). Bei der Anhörung gab der Beschwerdeführer zu Protokoll, er habe seit seinem Aufenthalt in Pakistan kurz nach seiner Ausreise keinen Kontakt mehr zu seiner Familie, und er wisse nicht, wo sie sich befinde. Von einem ehemaligen Arbeitskollegen habe er erfahren, dass das Haus, wo seine Familie gelebt habe, verlassen und von Granatsplittern beschädigt sei (A 65/16 S. 2 f.). In der Rechtsmittelschrift bringt der Beschwerdeführer vor, er habe nach wie vor keinen Kontakt mit seiner Familie; er vermute, dass seine Eltern und Geschwister, sofern sie noch am Leben seien, heute in Indien lebten, da gute Freunde des Vaters dorthin geflüchtet seien. Die Behauptung des Beschwerdeführers anlässlich der Anhörung sowie in der Rechtsmittelschrift, wonach er zu seinen Eltern und seinen (...) Geschwistern keinen Kontakt mehr habe und er nicht wisse, wo sie sich aufhielten, ist unglaubhaft, zumal dies im afghanischen Kontext unrealistisch erscheint. Überdies ist diese Aussage in keiner Weise belegt. Mangels anderweitiger verlässlicher Anhaltspunkte ist daher davon auszugehen, dass sich seine Eltern und Geschwister nach wie vor in Kabul aufhalten. Angesichts seiner langen Aufenthaltsdauer in dieser Stadt ist zudem davon auszugehen, dass er dort einen Freundes- und Bekanntenkreis hat, auf den er bei einer Rückkehr bei Bedarf zurückgreifen kann. Nach dem Dargelegten ist - entgegen den Vorbringen des Beschwerdeführers - zu schliessen, dass er in Kabul über ein tragfähiges Beziehungsnetz verfügt, welches ihm bei der Reintegration behilflich sein kann. Insbesondere ist anzunehmen, dass er zu Beginn bei seiner Familie respektive bei seinen Freunden und Bekannten wohnen kann, bis er eine eigene Unterkunft gefunden hat. Der Beschwerdeführer, der neben seiner Muttersprache Dari auch Paschtu, Urdu und Englisch spricht, hat gemäss eigenen Aussagen vor seiner Ausreise aus Afghanistan für die Regierung gearbeitet und sich so seinen Le­bensunterhalt verdient. Zudem konnte er in der Schweiz weitere berufliche Erfahrungen sammeln, weshalb davon auszugehen ist, er werde sich bei einer Rückkehr nach Kabul auch beruflich reintegrieren können. In diesem Zusammenhang ist auf die Möglichkeit der Beantragung von Rückkehrhilfe durch die Schweiz zu verweisen, die dem Beschwerdeführer den Wiedereinstieg in seine Heimat erleichtern dürfte (Art. 93 Abs. 1 Bst. d AsylG). Sodann sind keine weiteren persönlichen Gründe ersichtlich, aufgrund derer unter Umständen geschlossen werden könnte, der - gemäss den Akten - gesunde Beschwerdeführer gerate im Falle der Rückkehr in eine existenzbedrohende Situation. Entgegen den Vorbringen in der Rechtsmittelschrift erweist sich der Vollzug der Wegweisung des Beschwerdeführers nach Kabul somit als zumutbar. Die Ausführungen in der Beschwerde vermögen an dieser Einschätzung nichts zu ändern, weshalb darauf nicht näher einzugehen ist.</w:t>
      </w:r>
    </w:p>
    <w:p>
      <w:r>
        <w:rPr>
          <w:b/>
        </w:rPr>
        <w:t>E. 6.4</w:t>
      </w:r>
    </w:p>
    <w:p>
      <w:r>
        <w:t>Schliesslich obliegt es dem Beschwerdeführer, sich bei der zuständi-gen Vertretung des Heimatstaates die für eine Rückkehr notwendigen Reisedokumente zu beschaffen (Art. 8 Abs. 4 AsylG; vgl. auch BVGE 2008/34 E. 12),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 Daran ändert auch der Umstand nichts, dass sich der Beschwerdeführer in der Schweiz gut integriert hat.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sind die Kosten in der Höhe von Fr. 600.- (Art. 1 - 3 des Reglements vom 21. Februar 2008 über die Kosten und Entschädigungen vor dem Bundesverwaltungsgericht [VGKE, SR 173.320.2]) dem Beschwerdeführer aufzuerlegen (Art. 63 Abs. 1 VwVG). Sie sind durch den am 27. März 2013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