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D-1161/2020 vom 3. April 2020</w:t>
      </w:r>
    </w:p>
    <w:p>
      <w:r>
        <w:t>Bundesverwaltungsgericht, 2020-04-03, IT</w:t>
      </w:r>
    </w:p>
    <w:p>
      <w:r>
        <w:rPr>
          <w:b/>
        </w:rPr>
        <w:t xml:space="preserve">Quelle: </w:t>
      </w:r>
      <w:r>
        <w:t>https://mcp.opencaselaw.ch/entscheid/bvger_D-1161_2020</w:t>
      </w:r>
    </w:p>
    <w:p>
      <w:r>
        <w:t>FR: TAF D-1161/2020 du 3 avril 2020</w:t>
      </w:r>
    </w:p>
    <w:p>
      <w:r>
        <w:t>IT: TAF D-1161/2020 del 3 aprile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Le misure supercautelari pronunciate il 5 marzo 2020 sono revocate.</w:t>
      </w:r>
    </w:p>
    <w:p>
      <w:r>
        <w:rPr>
          <w:b/>
        </w:rPr>
        <w:t>E. 3</w:t>
      </w:r>
    </w:p>
    <w:p>
      <w:r>
        <w:t>La decisione di riesame della SEM del 24 gennaio 2020 è annullata. Gli atti di causa vengono rinviati all'autorità inferiore per la pronuncia di una nuova decisione ai sensi dei considerandi.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La SEM rifonderà al ricorrente complessivamente CHF 500.- a titolo di indennità ripetibili.</w:t>
      </w:r>
    </w:p>
    <w:p>
      <w:r>
        <w:rPr>
          <w:b/>
        </w:rPr>
        <w:t>E. 6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