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D-1156/2010 vom 18. März 2010</w:t>
      </w:r>
    </w:p>
    <w:p>
      <w:r>
        <w:t>Bundesverwaltungsgericht, 2010-03-18, DE</w:t>
      </w:r>
    </w:p>
    <w:p>
      <w:r>
        <w:rPr>
          <w:b/>
        </w:rPr>
        <w:t xml:space="preserve">Quelle: </w:t>
      </w:r>
      <w:r>
        <w:t>https://mcp.opencaselaw.ch/entscheid/bvger_D-1156_2010</w:t>
      </w:r>
    </w:p>
    <w:p>
      <w:r>
        <w:t>FR: TAF D-1156/2010 du 18 mars 2010</w:t>
      </w:r>
    </w:p>
    <w:p>
      <w:r>
        <w:t>IT: TAF D-1156/2010 del 18 marzo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w:t>
      </w:r>
    </w:p>
    <w:p>
      <w:r>
        <w:rPr>
          <w:b/>
        </w:rPr>
        <w:t>E. 4.2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Vorliegend führte die Schweizer Botschaft in Colombo am 25. November 2009 eine persönliche Befragung des Beschwerdeführers gemäss Art. 10 Abs. 1 AsylV 1 durch.</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2.e.-g. S. 131 ff., welcher angesichts bloss redaktioneller Änderungen bei der letzten Totalrevision des Asylgesetzes nach wie vor Gültigkeit hat).</w:t>
      </w:r>
    </w:p>
    <w:p>
      <w:r>
        <w:rPr>
          <w:b/>
        </w:rPr>
        <w:t>E. 5.1</w:t>
      </w:r>
    </w:p>
    <w:p>
      <w:r>
        <w:t>In seiner Beschwerdeschrift vom 19. Februar 2010 macht der Beschwerdeführer im Wesentlichen geltend, seine Vorbringen entsprächen der Wahrheit und er habe keine Absicht, die schweizerischen Behörden durch unzutreffende Angaben zu falschen Schlüssen zu verleiten. Sein Leben sei derzeit in grosser Gefahr, zumal er jeden Augenblick durch Rivalen getötet werden könne, obwohl er ganz unschuldig sei und nicht verstehen könne, weshalb er von den Sicherheitskräften festgenommen worden sei. Zwar sei er schliesslich vom Gericht auf freien Fuss gesetzt worden, doch sei er bereits wenige Wochen danach permanent telefonisch bedroht und zusätzlich von Unbekannten verfolgt worden, welche einmal versucht hätten, ihn zu entführen. Glücklicherweise sei es ihm gelungen, sich dem Zugriff dieser Leute zu entziehen, indem er einen öffentlichen Platz aufgesucht habe. Danach seien diese Leute zu seinem Haus gekommen, um ihn zu suchen. Ausserdem hätten sie seine Eltern bedroht, um seinen Aufenthaltsort herauszufinden. Dementsprechend habe er sich vor den Unbekannten verstecken müssen; bei diesen handle es sich vermutlich um Personen, die für seine ungerechtfertigte Haft verantwortlich gewesen seien. Aufgrund der Bedrohungssituation leide er unter Stress.</w:t>
      </w:r>
    </w:p>
    <w:p>
      <w:r>
        <w:rPr>
          <w:b/>
        </w:rPr>
        <w:t>E. 5.2</w:t>
      </w:r>
    </w:p>
    <w:p>
      <w:r>
        <w:t>Diese Vorbringen in der Rechtsmitteleingabe vom 19. Februar 2010 sind indessen nicht geeignet, eine Änderung der vorinstanzlichen Verfügung zu bewirken. Der Argumentation des BFM werden keine stichhaltigen, überzeugenden und substanziierten Gründe entgegengesetzt; vielmehr beschränkt sich der Beschwerdeführer darauf, in seiner Eingabe den Sachverhalt zu wiederholen. Die Ausführungen des Beschwerdeführers vermögen dementsprechend die substanziierten und nachvollziehbaren Erwägungen des BFM nicht umzustossen, dies umso weniger, als die geltend gemachte Furcht des Beschwerdeführers, in Colombo Opfer von Drittpersonen zu werden, die ihm im Zusammenhang mit der ungerechtfertigten, sechsmonatigen Haft nach dem Leben trachten sollen, mangels objektiver Anhaltspunkte nicht nachvollziehbar erscheint und die geltend gemachte Bedrohung konstruiert wirkt. Für das Bundesverwaltungsgericht besteht somit nach Überprüfung der Akten keine Veranlassung, die Erwägungen des Bundesamtes zu beanstanden. Um Wiederholungen zu vermeiden, kann daher auf die zutreffenden Ausführungen in der angefochtenen Verfügung ohne weiteren Begründungsaufwand verwiesen werden. Nach dem Gesagten erfüllt der Beschwerdeführer die Flüchtlingseigenschaft gemäss Art. 3 AsylG nicht.</w:t>
      </w:r>
    </w:p>
    <w:p>
      <w:r>
        <w:rPr>
          <w:b/>
        </w:rPr>
        <w:t>E. 5.3</w:t>
      </w:r>
    </w:p>
    <w:p>
      <w:r>
        <w:t>Angesichts dieser Sachlage erübrigt es sich, auf die weiteren Vorbringen in der Beschwerde sowie die auf Beschwerdeebene nochmals eingereichten Beweismittel einzugehen, da sie am Ergebnis nichts zu ändern vermögen. Es ist dem Beschwerdeführer nicht gelungen, eine Verfolgung im Sinne von Art. 3 AsylG nachzuweisen oder zumindest glaubhaft zu machen. Die Schutzbedürftigkeit des Beschwerdeführers im Sinne von Art. 20. i.V.m Art. 3 AsylG ist mithin als nicht gegeben zu qualifizieren, und es liegen auch keine anderen Gründe vor, welche die Erteilung einer Einreisebewilligung indizieren würden.</w:t>
      </w:r>
    </w:p>
    <w:p>
      <w:r>
        <w:rPr>
          <w:b/>
        </w:rPr>
        <w:t>E. 6</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7</w:t>
      </w:r>
    </w:p>
    <w:p>
      <w:r>
        <w:t>Bei diesem Ausgang des Verfahrens wären dessen Kosten grundsätzlich dem Beschwerdeführer aufzuerlegen (Art. 63 Abs. 1).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