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D-114/2021 vom 11. Mai 2021</w:t>
      </w:r>
    </w:p>
    <w:p>
      <w:r>
        <w:t>Bundesverwaltungsgericht, 2021-05-11, IT</w:t>
      </w:r>
    </w:p>
    <w:p>
      <w:r>
        <w:rPr>
          <w:b/>
        </w:rPr>
        <w:t xml:space="preserve">Quelle: </w:t>
      </w:r>
      <w:r>
        <w:t>https://mcp.opencaselaw.ch/entscheid/bvger_D-114_2021</w:t>
      </w:r>
    </w:p>
    <w:p>
      <w:r>
        <w:t>FR: TAF D-114/2021 du 11 mai 2021</w:t>
      </w:r>
    </w:p>
    <w:p>
      <w:r>
        <w:t>IT: TAF D-114/2021 del 11 maggio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PA) sono soddisfatti. Occorre dunque entrare nel merito del ricorso.</w:t>
      </w:r>
    </w:p>
    <w:p>
      <w:r>
        <w:rPr>
          <w:b/>
        </w:rPr>
        <w:t>E. 2</w:t>
      </w:r>
    </w:p>
    <w:p>
      <w:r>
        <w:t>Nulla osta all'evasione del gravame, non avendo in particolare l'insorgente addotto motivi validi giustificanti un'ulteriore sospensione della procedura (cfr. art. 6 della legge di procedura civile federale del 4 dicembre 1947 [PC, RS 273] applicabile su rinvio dell'art. 4 PA; DTAF 2009/42 consid. 2.29) ed essendo la fattispecie sufficientemente acclarata alla luce del diritto in concreto applicabile (cfr. sentenza del Tribunale D-291/2021 del 9 marzo 2021 consid. 7.2 e 7.6 e infra consid. 4).</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4.1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4.2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D-291/2021 consid. 7.2.2; Moser/Beusch/Kneubühler, op. cit., n. 3.144).</w:t>
      </w:r>
    </w:p>
    <w:p>
      <w:r>
        <w:rPr>
          <w:b/>
        </w:rPr>
        <w:t>E. 4.3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D-291/2021 del 9 marzo 2021 consid. 7.2.3,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1C_179/2014 del 2 settembre 2014 consid. 3.2; sentenze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w:t>
      </w:r>
    </w:p>
    <w:p>
      <w:r>
        <w:rPr>
          <w:b/>
        </w:rPr>
        <w:t>E. 4.4</w:t>
      </w:r>
    </w:p>
    <w:p>
      <w:r>
        <w:t>I principi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(sentenza del Tribunale sentenza D-291/2021 7.2.4 e D-1665/2018 del 27 gennaio 2021 consid. 8.3.5).</w:t>
      </w:r>
    </w:p>
    <w:p>
      <w:r>
        <w:rPr>
          <w:b/>
        </w:rPr>
        <w:t>E. 4.5</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curante. Nulla vieta inoltre al ricorrente di presentare ulteriori mezzi di prova al soggetto rispettivamente di rivolgersi autonomamente ad un medico (cfr. sentenza D-291/2021 del consid. 7.2.5).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4.6</w:t>
      </w:r>
    </w:p>
    <w:p>
      <w:r>
        <w:t>Nel caso in rassegna, al momento dell'emissione della decisione impugnata l'incarto della Segreteria di Stato conteneva già diversi mezzi di prova riguardanti la situazione valetudinaria del ricorrente. L'autorità inferiore non si è peraltro limitata a raccogliere dei brevi referti medici, bensì ha ordinato l'allestimento di un rapporto dettagliato (cfr. atto SEM 38/3). Anche in esito a quest'ultimo e sulla base delle successive visite mediche è indubbio che nel caso in narrativa il substrato fattuale non contenesse indicatori quanto all'esistenza, finanche potenziale, di affezioni terminali ai sensi della giurisprudenza convenzionale. Allo stesso modo, non vi erano elementi per sospettare che le patologie diagnosticate potessero raggiungere un tale livello di gravità da configurare un rischio reale di peggioramento rapido ed irreversibile dello stato valetudinario comportante delle intense sofferenze o una significativa riduzione della speranza di vita in caso di trasferimento (cfr. infra consid. 7.4 - 7.7). Nei certificati medici in parola non vi erano dipoi indicazioni quanto a sospetti di patologie gravi da identificare ulteriormente. Neppure si poteva partire dall'assunto che le problematiche potessero risultare decisive in termini di esigibilità (cfr. infra consid. 8.4) né tantomeno che fosse necessario richiedere garanzie individuali alle autorità elleniche (cfr. sentenza del Tribunale D-893/2020 del 24 febbraio 2020 consid. 9.2 con ulteriori riferimenti citati). Del resto, non è certo bastevole limitarsi a ventilare future visite mediche per imporre ulteriori misure istruttorie, dovendosi perlomeno desumere che le stesse vertano su situazioni valetudinarie rilevanti per l'esito del procedimento onde giustificare degli accertamenti supplementari (cfr. sentenza D-291/2021 del consid. 7.6.2). L'autorità inferiore non è dunque venuta meno al suo obbligo di procedere d'ufficio all'accertamento esatto e completo dei fatti giuridicamente rilevanti.</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5.2</w:t>
      </w:r>
    </w:p>
    <w:p>
      <w:r>
        <w:t>Nella fattispecie, dagli atti risulta che al ricorrente è stata riconosciuta la protezione sussidiaria in Grecia il 29 novembre 2019 e che egli è beneficiario di un permesso di soggiorno valido sino al 1° dicembre 2022 (cfr. atto 26/1). Altresì, la Grecia, il 13 luglio 2020, ha dichiarato di accettare la riammissione dell'interessato sul proprio territorio. L'insorgente non ha per altro apportato indizi individuali che permetterebbero di ritenere che la Grecia non rispetti il principio di «non-refoulement» e lo rinvierebbe nel suo Paese d'origine.</w:t>
      </w:r>
    </w:p>
    <w:p>
      <w:r>
        <w:rPr>
          <w:b/>
        </w:rPr>
        <w:t>E. 5.3</w:t>
      </w:r>
    </w:p>
    <w:p>
      <w:r>
        <w:t>Di conseguenza, le condizioni dell'art. 31a cpv. 1 lett. a LAsi risultano incontestabilmente soddisfatte ed è a giusto titolo che la SEM non è entrata nel merito della domanda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w:t>
      </w:r>
    </w:p>
    <w:p>
      <w:r>
        <w:rPr>
          <w:b/>
        </w:rPr>
        <w:t>E. 8.1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D-6742/2019 del 7 gennaio 2020 consid. 8.4).</w:t>
      </w:r>
    </w:p>
    <w:p>
      <w:r>
        <w:rPr>
          <w:b/>
        </w:rPr>
        <w:t>E. 8.3</w:t>
      </w:r>
    </w:p>
    <w:p>
      <w:r>
        <w:t>Con particolare riferimento alla situazione generale della Grecia, il Tribunale ha a più riprese ribadito che per quanto riguarda l'ammissibilità dell'esecuzione dell'allontanamento vengono riconosciuti degli ostacoli unicamente a condizioni molto severe. Essendo la Grecia firmataria della CEDU, della Conv. tortura e della Conv. rifugiati, essa rispetta di principio i suoi obblighi di diritto internazionale (cfr. sentenza del Tribunale D-559/2020 del 13 febbraio 2020 consid. 8.2, pubblicata come sentenza di riferimento). Così, nonostante permanga effettivamente un rischio, per i beneficiari di protezione internazionale, di incorrere in condizioni di accoglienza precarie, non risulta da fonti affidabili e concordi che sussista una pratica di discriminazione sistematica nell'accesso all'occupazione, all'assistenza sociale, all'assistenza sanitaria, all'istruzione e all'alloggio. D'altro canto, tale categoria di persone può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sopracitata). Il Tribunale ha inoltre specificato che malgrado la cessazione delle prestazioni di assistenza finanziaria nonché in materia d'alloggio introdotte con la riforma legislativa dell'11 marzo 2020, non vi sono sufficienti motivi per ritenere che la Grecia in futuro verrà meno ai suoi obblighi di diritto internazionale (cfr. sentenza del Tribunale D-2160/2020 del 6 maggio 2020 consid. 7.2). Infine, in caso di violazione di diritti sanciti dalla CEDU, l'interessato potrà adire i tribunali greci, ed in ultima istanza la Corte EDU (art. 34 CEDU).</w:t>
      </w:r>
    </w:p>
    <w:p>
      <w:r>
        <w:rPr>
          <w:b/>
        </w:rPr>
        <w:t>E. 8.4</w:t>
      </w:r>
    </w:p>
    <w:p>
      <w:r>
        <w:t>Nella presente fattispecie, il ricorrente, quale beneficiario di protezione sussidiaria, può così rivolgersi alle competenti autorità greche per far valere i diritti che gli spettano. Per il resto, dagli atti non si evincono elementi che permettano di ritenere che in caso di rinvio le sue prospettive future, considerate dal punto di vista materiale, fisico o psicologico, denotino un rischio sufficientemente reale e imminente di incontrare privazioni di una gravità tale da rientrare nell'ambito di applicazione dell'art. 3 CEDU. In primo luogo, nonostante il ricorrente pretenda essere stato esposto a condizioni di vita terribili, non risulta dagli atti che egli abbia sollecitato qualsivoglia presa a carico da parte delle autorità elleniche. D'altro canto, egli ha affermato di aver risieduto per buona parte del tempo trascorso in Grecia presso un'amica (cfr. atti 16/2 e 28/17) e nulla vieta di presumere che, in caso di necessità, possa farlo anche in futuro. In Grecia vi sono inoltre organismi di natura caritativa che possono provvedere un qualche tipo di assistenza (cfr. sentenza del Tribunale D-2404/2020 del 18 maggio 2020 consid. 8.3).</w:t>
      </w:r>
    </w:p>
    <w:p>
      <w:r>
        <w:rPr>
          <w:b/>
        </w:rPr>
        <w:t>E. 8.5</w:t>
      </w:r>
    </w:p>
    <w:p>
      <w:r>
        <w:t>Quanto alle patologie riferite dall'insorgente, va rilevato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8.6</w:t>
      </w:r>
    </w:p>
    <w:p>
      <w:r>
        <w:t>Sempre in quest'ambito, si deve ricordare che l'aggravamento dello stato psichico di un richiedente l'asilo a seguito di una decisione negativa è casistica osservabile di frequente (cfr. tra le tante sentenza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consdi. 6.3.2; secondo il senso anche la recente sentenza del Tribunale federale 2C_221/2020 del 19 giugno 2020 consid. 2). Tuttavia, le autorità competenti per l'esecuzione sono tenute ad adottare tutte le misure ragionevoli nel quadro del rimpatrio per garantire che la vita e la salute dell'interessato non siano compromesse (cfr. sentenze del Tribunale federale 2D_14/2018 del 13 agosto 2018 consid. 7.3, 2C_98/2018 del 7 novembre 2018 consid. 5.5.3, DTAF 2017 VI/7 consid. 6.4; sentenza della CorteEdu Sanda Dragan e altri contro Germania del 7 ottobre 2004, 33743/03, § 1.2.a).</w:t>
      </w:r>
    </w:p>
    <w:p>
      <w:r>
        <w:rPr>
          <w:b/>
        </w:rPr>
        <w:t>E. 8.7</w:t>
      </w:r>
    </w:p>
    <w:p>
      <w:r>
        <w:t>Ora, sulla base della documentazione medica agli atti si deve effettivamente partire dall'assunto che il ricorrente soffra di problemi psichici a carattere depressivo che si ripercuoto anche a livello somatico. Secondo gli ultimi aggiornamenti proposti nella presente procedura ricorsuale, il disturbo dell'adattamento/depressione attiva hanno entità grave e sono attualmente trattati farmacologicamente. In questo contesto, il ricorrente è stato volontariamente ricoverato presso la clinica psichiatrica di Lucerna in condizioni stabili, venendo dimesso. Ciò non di meno, tali affezioni, quand'anche non siano in alcun modo da sminuire, non rientrano nelle casistiche testé enucleate. Inoltre, malgrado vi siano effettivamente dei problemi dovuti alla crisi economica si può partire dal presupposto che la Grecia disponga di infrastrutture mediche sufficienti e che dunque in tale Paese l'insorgente possa ottenere i trattamenti e le terapie necessari (cfr. sentenze del Tribunale D-1189/2020 del 17 marzo 2020 consid. 8.5.3.2 con ulteriore riferimento ivi citato).</w:t>
      </w:r>
    </w:p>
    <w:p>
      <w:r>
        <w:rPr>
          <w:b/>
        </w:rPr>
        <w:t>E. 8.8</w:t>
      </w:r>
    </w:p>
    <w:p>
      <w:r>
        <w:t>In conclusione, l'esecuzione dell'allontanamento in Grecia è ammissibile ai sensi delle norme di diritto internazionale pubblico nonché della LAsi (art. 83 cpv. 3 LStrI in relazione all'art. 44 LAsi).</w:t>
      </w:r>
    </w:p>
    <w:p>
      <w:r>
        <w:rPr>
          <w:b/>
        </w:rPr>
        <w:t>E. 9.1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D-559/2020 consid. 9).</w:t>
      </w:r>
    </w:p>
    <w:p>
      <w:r>
        <w:rPr>
          <w:b/>
        </w:rPr>
        <w:t>E. 9.2</w:t>
      </w:r>
    </w:p>
    <w:p>
      <w:r>
        <w:t>Nella misura in cui il ricorrente fa riferimento alle precarie condizioni di vita dei migranti in Grecia, va effettivamente rilevato che il sistema di assistenza sociale greco presenta delle criticità non soltanto per i richiedenti asilo, ma anche per le persone con beneficiarie di protezione internazionale (cfr. sentenze della CorteEDU, Saidoun contro Grecia, 40083/07 e Fawsie contro Grecia, 40080/07, entrambe del 28 ottobre 2010). Le irregolarità nell'accesso ad alloggi a basso costo o al mercato del lavoro nel contesto della crisi economica in corso, le limitate prestazioni assistenziali fornite dallo Stato o la discriminazione contro i cittadini greci nell'accesso ai servizi di sostegno statale, anche nel settore dell'assistenza sanitaria, sono peraltro menzionate anche nei rapporti Pro Asyl e RSA ripresi nel ricorso. Nonostante queste problematiche, va notato che la Grecia è vincolata dalla direttiva qualificazione. È quindi responsabilità dell'insorgente rivendicare i diritti che gli spettano direttamente presso le autorità di detto Paese (cfr. consid. 8.2). Anche se le condizioni di vita in Grecia non sono facili a causa della situazione economica prevalente, non ci sono indicazioni che l'interessato verrebbe esposto a un'emergenza esistenziale in caso di rinvio.</w:t>
      </w:r>
    </w:p>
    <w:p>
      <w:r>
        <w:rPr>
          <w:b/>
        </w:rPr>
        <w:t>E. 9.3</w:t>
      </w:r>
    </w:p>
    <w:p>
      <w:r>
        <w:t>Le problematiche di natura medica risultano inoltre decisive in termini di esigibilità solo laddove le cure, reputate essenziali, non sarebbero ottenibili nel paese d'origine (cfr. GICRA 2003 n. 24 consid. 5b).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dell'interessato, non raggiungono lo standard elvetico. In tal senso, se le cure necessarie possono essere assicurate nel paese d'origine del richiedente, all'occorrenza con altre tipologie di presa a carico rispetto a quelle prescritte in Svizzera, l'esecuzione dell'allontanamento in tale Paese sarà ragionevolmente esigibile. Invece non lo sarà più, ai sensi della disposizione precitata se, in ragione dell'assenza di possibilità di ottenere un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 inter alia le sentenze del Tribunale D-5064/2018 del 27 settembre 2018 e D-3407/2006 dell'8 luglio 2008 consid. 3.1). Anche sotto questo punto di vista ed alla luce di quanto già esposto in limine, le patologie in presenza non sono pertanto tali da risultare ostative all'esecuzione dell'allontanamento.</w:t>
      </w:r>
    </w:p>
    <w:p>
      <w:r>
        <w:rPr>
          <w:b/>
        </w:rPr>
        <w:t>E. 9.4</w:t>
      </w:r>
    </w:p>
    <w:p>
      <w:r>
        <w:t>Di conseguenza, l'esecuzione dell'allontanamento risulta pure ragionevolmente esigibile. Non vi è infatti modo di ritenere che lo stato di salute dell'interessato si degraderebbe così rapidamente da risultare una minaccia grave e concreta per la sua integrità fisica. Ciò anche in considerazione della possibilità di far capo al sistema sanitario in essere nel Paese di destinazione.</w:t>
      </w:r>
    </w:p>
    <w:p>
      <w:r>
        <w:rPr>
          <w:b/>
        </w:rPr>
        <w:t>E. 10</w:t>
      </w:r>
    </w:p>
    <w:p>
      <w:r>
        <w:t>Altresì, non risultano impedimenti neppure dal profilo della possibilità dell'esecuzione dell'allontanamento (art. 44 LAsi ed art. 83 cpv. 2 LStr) ritenuto che le autorità elleniche hanno dato il loro benestare alla riammissione del ricorrente. Le restrizioni temporanee da relazionare alla situazione pandemica sono ininfluenti.</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prelevate sull'anticipo spese versato il 1° aprile 2021.</w:t>
      </w:r>
    </w:p>
    <w:p>
      <w:r>
        <w:rPr>
          <w:b/>
        </w:rPr>
        <w:t>E. 13</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