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D-1149/2023 vom 30. Januar 2023</w:t>
      </w:r>
    </w:p>
    <w:p>
      <w:r>
        <w:t>Bundesverwaltungsgericht, 2023-01-30, DE</w:t>
      </w:r>
    </w:p>
    <w:p>
      <w:r>
        <w:rPr>
          <w:b/>
        </w:rPr>
        <w:t xml:space="preserve">Quelle: </w:t>
      </w:r>
      <w:r>
        <w:t>https://mcp.opencaselaw.ch/entscheid/bvger_D-1149_2023_d20230130</w:t>
      </w:r>
    </w:p>
    <w:p>
      <w:r>
        <w:t>FR: TAF D-1149/2023 du 30 janvier 2023</w:t>
      </w:r>
    </w:p>
    <w:p>
      <w:r>
        <w:t>IT: TAF D-1149/2023 del 30 gennaio 2023</w:t>
      </w:r>
    </w:p>
    <w:p>
      <w:pPr>
        <w:pStyle w:val="Heading2"/>
      </w:pPr>
      <w:r>
        <w:t>Regeste</w:t>
      </w:r>
    </w:p>
    <w:p>
      <w:r>
        <w:t>Asyl (ohne Wegweisungsvollzug) (Mehrfachgesuch) | Asyl (ohne Wegweisungsvollzug) (Mehrfachgesuch); Verfügung des SEM vom 30. Januar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w:t>
      </w:r>
    </w:p>
    <w:p>
      <w:r>
        <w:t>D-1149/2023 Seite 4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begründete Beschwerden wird in einzelrichterlicher Zu- ständigkeit mit Zustimmung einer zweiten Richterin bzw. eines zweiten Richters entschieden (Art. 111 Bst. e AsylG). Vorliegend handelt es sich, wie nachfolgend aufgezeigt wird, um eine solche, weshalb auf einen Schrif- tenwechsel verzichtet und der vorliegende Entscheid nur summarisch be- gründet wird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w:t>
      </w:r>
    </w:p>
    <w:p>
      <w:r>
        <w:t>D-1149/2023 Seite 5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5.1</w:t>
      </w:r>
    </w:p>
    <w:p>
      <w:r>
        <w:t>Massgeblich für die Beurteilung der Flüchtlingseigenschaft nach Art. 3 AsylG ist nicht nur die Situation im Zeitpunkt der Ausreise, sondern dieje- nige im Zeitpunkt des Asylentscheides. So ist gegebenenfalls auch eine asylsuchende Person als Flüchtling anzuerkennen, die erst aufgrund von Ereignissen nach ihrer Ausreise im Fall einer Rückkehr in ihren Heimat- oder Herkunftsstaat in flüchtlingsrechtlich relevanter Weise verfolgt würde. Zu unterscheiden ist dabei zwischen objektiven und subjektiven Nach- fluchtgründen. Objektive Nachfluchtgründe liegen vor, wenn Ereignisse im Heimatland respektive äussere Umstände, auf welche die asylsuchende Person keinen Einfluss nehmen konnte, zur drohenden Verfolgung führen. In solchen Fällen ist der von einer Verfolgung bedrohten Person die Flücht- lingseigenschaft zuzuerkennen und Asyl zu gewähren. Demgegenüber sind Personen, die erst wegen ihrer Ausreise oder ihrem Verhalten danach solchen ernsthaften Nachteilen ausgesetzt sind respektive begründete Furcht haben, solchen Nachteilen ausgesetzt zu werden, nach Art. 54 AsylG zwar als Flüchtlinge vorläufig aufzunehmen, indes wegen soge- nannter subjektiver Nachfluchtgründe von der Asylgewährung auszu- schliessen (vgl. BVGE 2010/44 E. 3.5).</w:t>
      </w:r>
    </w:p>
    <w:p>
      <w:r>
        <w:rPr>
          <w:b/>
        </w:rPr>
        <w:t>E. 5.2</w:t>
      </w:r>
    </w:p>
    <w:p>
      <w:r>
        <w:t>Das SEM erachtet es aufgrund der mit dem Mehrfachgesuch einge- reichten Festnahmebeschlüsse für glaubhaft, dass gegen die Beschwer- deführerin in der Türkei strafrechtliche Untersuchungen hinsichtlich des Vorwurfs, Verbindungen zur Gülen-Bewegung zu unterhalten, eingeleitet worden sind. Das Gericht sieht keinen Anlass, an dieser Einschätzung zu zweifeln. Gemäss aktueller Praxis ist davon auszugehen, dass im Einzelfall Perso- nen, denen in der Türkei Unterstützung von als terroristisch eingestuften Organisationen vorgeworfen wird, begründete Furcht vor asylrelevanter Verfolgung haben (vgl. Urteile des BVGer E-3665/2020 vom 4. September 2022 E. 5.4, D-5859/2020 vom 13. Mai 2022 E. 6.3, D-3154/2021 vom 1. November 2021 E. 6.3 und E-702/2018 vom 17. März 2021 E. 7.4.1). Das gegen die Beschwerdeführerin laufende Strafverfahren stellt somit grundsätzlich eine asylrelevante Verfolgung dar.</w:t>
      </w:r>
    </w:p>
    <w:p>
      <w:r>
        <w:t>D-1149/2023 Seite 6</w:t>
      </w:r>
    </w:p>
    <w:p>
      <w:r>
        <w:rPr>
          <w:b/>
        </w:rPr>
        <w:t>E. 5.3</w:t>
      </w:r>
    </w:p>
    <w:p>
      <w:r>
        <w:t>Die Vorinstanz begründet die Abweisung des Asylgesuches trotz be- stehender Flüchtlingseigenschaft damit, dass die Beschwerdeführerin erst im Jahr 2020 und somit nach ihrer Ausreise im Juni 2019 wegen ihrer Ver- bindung zur Gülen-Bewegung angezeigt worden sei, weshalb subjektive Nachfluchtgründe vorliegen würden. Eine Auseinandersetzung mit der Ab- grenzung zwischen subjektiven und objektiven Nachfluchtgründen findet dabei jedoch nicht statt. Das Gericht erachtet die entsprechenden Rügen der Beschwerdeführerin insgesamt als offensichtlich begründet. Zwar ist es zutreffend, dass die strafrechtlichen Ermittlungen wohl erst eröffnet wor- den sind, nachdem die Beschwerdeführerin ihr Heimatland verlassen hat. Soweit aus den Akten ersichtlich, wurden diese Ermittlungen allerdings nicht durch ein Verhalten der Beschwerdeführerin ausgelöst, das sich erst nach ihrer Ausreise ereignet hat. Vielmehr basieren diese offenbar auf ihrer Verbindung zur Gülen-Bewegung während ihrer Studienzeit in den Jahren (…) an der Universität (…) (Aufenthalt in einem Wohnheim der Gülen-Be- wegung, Kontakt mit einflussreichen Personen der Gülen-Bewegung, Un- terstützung betreffend den Schutz vor ihrer Familie als auch die Aussicht einer Arbeitsstelle als stellvertretende Leiterin von einem Studentenwohn- heim der Gülen-Bewegung). Dies wird weder vom SEM bestritten, noch ergibt sich etwas anderes aus den Akten. Die von ihr geltend gemachten ersthaften Nachteile wurden folglich nicht durch ihr Verhalten nach der Aus- reise ausgelöst, weshalb es sich nicht um subjektive Nachfluchtgründe handelt. Das gegen die Beschwerdeführerin nach ihrer Ausreise eingeleitete Straf- verfahren ist folglich als objektiver Nachfluchtgrund zu qualifizieren.</w:t>
      </w:r>
    </w:p>
    <w:p>
      <w:r>
        <w:rPr>
          <w:b/>
        </w:rPr>
        <w:t>E. 5.4</w:t>
      </w:r>
    </w:p>
    <w:p>
      <w:r>
        <w:t>Somit ist von einer begründeten Furcht vor drohender, asylrechtlich re- levanter Verfolgung auszugehen.</w:t>
      </w:r>
    </w:p>
    <w:p>
      <w:r>
        <w:rPr>
          <w:b/>
        </w:rPr>
        <w:t>E. 5.5</w:t>
      </w:r>
    </w:p>
    <w:p>
      <w:r>
        <w:t>Demnach erfüllt die Beschwerdeführerin die Voraussetzungen für die Anerkennung der Flüchtlingseigenschaft nach Art. 3 AsylG. Aus den Akten ergeben sich keine Anhaltspunkte für eine Asylunwürdigkeit im Sinne von Art. 53 AsylG. Der Beschwerdeführerin ist demnach Asyl zu gewähren (Art. 49 AsylG).</w:t>
      </w:r>
    </w:p>
    <w:p>
      <w:r>
        <w:rPr>
          <w:b/>
        </w:rPr>
        <w:t>E. 6</w:t>
      </w:r>
    </w:p>
    <w:p>
      <w:r>
        <w:t>Die Beschwerde ist gutzuheissen, die angefochtene Verfügung vom 30. Januar 2023 ist aufzuheben, die Beschwerdeführerin ist als Flüchtling anzuerkennen und das SEM ist anzuweisen, ihr in der Schweiz Asyl zu gewähren.</w:t>
      </w:r>
    </w:p>
    <w:p>
      <w:r>
        <w:t>D-1149/2023 Seite 7</w:t>
      </w:r>
    </w:p>
    <w:p>
      <w:r>
        <w:rPr>
          <w:b/>
        </w:rPr>
        <w:t>E. 7</w:t>
      </w:r>
    </w:p>
    <w:p>
      <w:r>
        <w:t>Bei diesem Ausgang des Verfahrens sind keine Kosten zu erheben (Art. 63 Abs. 1 und 2 VwVG).</w:t>
      </w:r>
    </w:p>
    <w:p>
      <w:r>
        <w:rPr>
          <w:b/>
        </w:rPr>
        <w:t>E. 8</w:t>
      </w:r>
    </w:p>
    <w:p>
      <w:r>
        <w:t>Der vertretenen Beschwerdeführerin ist angesichts ihres Obsiegens in An- wendung von Art. 64 VwVG und Art. 7 Abs. 1 des Reglements vom 21. Februar 2008 über die Kosten und Entschädigungen vor dem Bundes- verwaltungsgericht (VGKE, SR 173.320.2) eine Entschädigung für die ihr notwendigerweise erwachsenen Parteikosten zuzusprechen. Es wurde keine Kostennote eingereicht, weshalb die notwendigen Partei- kosten aufgrund der Akten zu bestimmen sind (Art. 14 Abs. 2 in fine VGKE). Gestützt auf die in Betracht zu ziehenden Bemessungsfaktoren (Art. 9–13 VGKE) ist der Beschwerdeführerin zulasten der Vorinstanz eine Parteientschädigung von insgesamt Fr. 1'400.– zuzusprechen.</w:t>
      </w:r>
    </w:p>
    <w:p>
      <w:r>
        <w:t>(Dispositiv nächste Seite)</w:t>
      </w:r>
    </w:p>
    <w:p>
      <w:r>
        <w:t>D-1149/2023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