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D-1148/2022 vom 18. März 2022</w:t>
      </w:r>
    </w:p>
    <w:p>
      <w:r>
        <w:t>Bundesverwaltungsgericht, 2022-03-18, DE</w:t>
      </w:r>
    </w:p>
    <w:p>
      <w:r>
        <w:rPr>
          <w:b/>
        </w:rPr>
        <w:t xml:space="preserve">Quelle: </w:t>
      </w:r>
      <w:r>
        <w:t>https://mcp.opencaselaw.ch/entscheid/bvger_D-1148_2022</w:t>
      </w:r>
    </w:p>
    <w:p>
      <w:r>
        <w:t>FR: TAF D-1148/2022 du 18 mars 2022</w:t>
      </w:r>
    </w:p>
    <w:p>
      <w:r>
        <w:t>IT: TAF D-1148/2022 del 18 marzo 2022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beantragte Korrektur des Geburtsdatums im ZEMIS wird vom vorliegenden Beschwerdeverfahren abgetrennt und separat unter einer anderen Verfahrensnummer beim Bundesverwaltungsgericht geführt.</w:t>
      </w:r>
    </w:p>
    <w:p>
      <w:r>
        <w:rPr>
          <w:b/>
        </w:rPr>
        <w:t>E. 2</w:t>
      </w:r>
    </w:p>
    <w:p>
      <w:r>
        <w:t>Im Übrigen wird die Beschwerde gutgeheissen, soweit die Aufhebung der angefochtenen Verfügung beantragt wird.</w:t>
      </w:r>
    </w:p>
    <w:p>
      <w:r>
        <w:rPr>
          <w:b/>
        </w:rPr>
        <w:t>E. 3</w:t>
      </w:r>
    </w:p>
    <w:p>
      <w:r>
        <w:t>Die Verfügung des SEM vom 1. März 2022 wird bezüglich des vorliegenden Prozessgegenstandes aufgehoben und die Sache im Sinne der Erwägungen zur erneuten Beurteilung an die Vorinstanz zurückgewiesen.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Es wird keine Parteientschädigung ausgerichtet.</w:t>
      </w:r>
    </w:p>
    <w:p>
      <w:r>
        <w:rPr>
          <w:b/>
        </w:rPr>
        <w:t>E. 6</w:t>
      </w:r>
    </w:p>
    <w:p>
      <w:r>
        <w:t>Dieses Urteil geht an den Beschwerdeführer, das SEM und die kantonale Migrationsbehörde. Die Einzelrichterin: Der Gerichtsschreiber: Nina Spälti Giannakitsas Constantin Hruschka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