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D-1147/2012 vom 9. März 2012</w:t>
      </w:r>
    </w:p>
    <w:p>
      <w:r>
        <w:t>Bundesverwaltungsgericht, 2012-03-09, DE</w:t>
      </w:r>
    </w:p>
    <w:p>
      <w:r>
        <w:rPr>
          <w:b/>
        </w:rPr>
        <w:t xml:space="preserve">Quelle: </w:t>
      </w:r>
      <w:r>
        <w:t>https://mcp.opencaselaw.ch/entscheid/bvger_D-1147_2012</w:t>
      </w:r>
    </w:p>
    <w:p>
      <w:r>
        <w:t>FR: TAF D-1147/2012 du 9 mars 2012</w:t>
      </w:r>
    </w:p>
    <w:p>
      <w:r>
        <w:t>IT: TAF D-1147/2012 del 9 marzo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abgewiesen, soweit darauf eingetreten wird.</w:t>
      </w:r>
    </w:p>
    <w:p>
      <w:r>
        <w:rPr>
          <w:b/>
        </w:rPr>
        <w:t>E. 2</w:t>
      </w:r>
    </w:p>
    <w:p>
      <w:r>
        <w:t>Die Verfahrenskosten von Fr. 1200.- werden dem Gesuchsteller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Gesuchsteller, das BFM und die zuständige kantonale Behörde. Der vorsitzende 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