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D-1139/2013 vom 17. April 2013</w:t>
      </w:r>
    </w:p>
    <w:p>
      <w:r>
        <w:t>Bundesverwaltungsgericht, 2013-04-17, DE</w:t>
      </w:r>
    </w:p>
    <w:p>
      <w:r>
        <w:rPr>
          <w:b/>
        </w:rPr>
        <w:t xml:space="preserve">Quelle: </w:t>
      </w:r>
      <w:r>
        <w:t>https://mcp.opencaselaw.ch/entscheid/bvger_D-1139_2013</w:t>
      </w:r>
    </w:p>
    <w:p>
      <w:r>
        <w:t>FR: TAF D-1139/2013 du 17 avril 2013</w:t>
      </w:r>
    </w:p>
    <w:p>
      <w:r>
        <w:t>IT: TAF D-1139/2013 del 17 aprile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 richtet sich gemäss den Rechtsbegehren und der Begründung ausschliesslich gegen den Vollzug der von der Vorinstanz verfügten Wegweisung. Die Verfügung des BFM vom 31. Januar 2013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lediglich die Frage, ob das Bundesamt den Vollzug der Wegweisung zu Recht als zulässig, zumutbar und möglich erachtet hat oder ob an seiner Stelle die vorläufige Aufnahme anzuordnen ist (Art. 44 Abs. 2 AsylG i.V.m. Art. 83 des Bundesgesetzes vom 16. Dezember 2005 über die Ausländerinnen und Ausländer [AuG, SR 142.20]).</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5.2.2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jedoch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Betreffend die allgemeine Lage in Afghanistan ist auf das weiterhin zutreffende Grundsatzurteil BVGE 2011/7 vom 16. Juni 2011 zu verweisen. Nach eingehender Lageanalyse stellte das Bundesverwaltungsgericht darin fest, dass die Sicherheitslage sowie die humanitären Bedingungen in weiten Teilen Afghanistans - ausser allenfalls in den Grossstädten - äusserst schlecht seien, weshalb die Situation in Afghanistan praktisch flächendeckend als existenzbedrohend im Sinne von Art. 83 Abs. 4 AuG zu qualifizieren sei. Von dieser allgemeinen Feststellung sei die Lage in der Hauptstadt Kabul zu unterscheiden. Angesichts dessen, dass dort die Sicherheitslage weniger bedrohlich als in den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(vgl. a.a.O., E. 9.9).</w:t>
      </w:r>
    </w:p>
    <w:p>
      <w:r>
        <w:rPr>
          <w:b/>
        </w:rPr>
        <w:t>E. 5.3.3</w:t>
      </w:r>
    </w:p>
    <w:p>
      <w:r>
        <w:t>Der gemäss den Akten heute (...) Beschwerdeführer wohnte nach eigenen Aussagen seit seiner Kindheit bis zu seiner Ausreise aus seinem Heimatland im August 2007 in Kabul. Angesichts seiner langen Aufenthaltsdauer in dieser Stadt sowie seiner Äusserungen anlässlich der Anhörung (vgl. BFM-Akten B 19/8 F29) ist davon auszugehen, dass er dort einen Freundeskreis hat, auf den er bei einer Rückkehr bei Bedarf zurückgreifen kann. Aufgrund der Akten ist zwar anzunehmen, dass sich seine Eltern sowie seine Geschwister heute nicht mehr in Afghanistan aufhalten. Dennoch ist davon auszugehen, dass der Beschwerdeführer in Kabul zum heutigen Zeitpunkt über ein familiäres Beziehungsnetz verfügt, machte er doch bei der Anhörung geltend, eine Tante und zwei Onkel mütterlicherseits lebten ebenfalls in Kabul (B 19/8 F26). Die Behauptung in den Eingaben vom 23. März 2011 und 19. Juli 2011 sowie in der Rechtsmittelschrift, wonach er zu diesen Verwandten keinen Kontakt mehr habe und er nicht wisse, wo sie sich aufhielten, ist unglaubhaft, zumal dies im afghanischen Kontext wenig realistisch erscheint. Überdies ist diese Aussage in keiner Weise belegt. Nach dem Gesagten ist - entgegen den Vorbringen des Beschwerdeführers - zu schliessen, dass er in Kabul über ein tragfähiges Beziehungsnetz verfügt, welches ihm bei der Reintegration behilflich sein kann. Insbesondere ist davon auszugehen, dass er bei seinen Verwandten respektive Freunden wohnen kann, bis er eine eigene Unterkunft gefunden hat. Der Beschwerdeführer, der neben seiner Muttersprache Dari auch etwas Englisch und Paschtu spricht, hat gemäss eigenen Aussagen vor seiner Ausreise aus Afghanistan als D._______ gearbeitet und sich so seinen Lebensunterhalt verdient. Zudem konnte er in der Schweiz weitere berufliche Erfahrungen als F._______ erwerben, weshalb davon auszugehen ist, er werde sich bei einer Rückkehr nach Kabul auch beruflich reintegrieren können. In diesem Zusammenhang ist auf die Möglichkeit der Beantragung von Rückkehrhilfe durch die Schweiz zu verweisen, die dem Beschwerdeführer den Wiedereinstieg in seine Heimat erleichtern dürfte (Art. 93 Abs. 1 Bst. d AsylG; Art. 73 ff. der Asylverordnung 2 vom 11. August 1999 über Finanzierungsfragen [AsylV 2, SR 142.312]). Sodann sind keine weiteren persönlichen Gründe ersichtlich, aufgrund derer unter Umständen geschlossen werden könnte, der Beschwerdeführer gerate im Falle der Rückkehr in eine existenzbedrohende Situation, da keine nennenswerten gesundheitlichen Beeinträchtigungen aktenkundig sind. Entgegen den Vorbringen in der Rechtsmittelschrift erweist sich nach Berücksichtigung aller wesentlichen Entscheidungselemente der Vollzug der Wegweisung des Beschwerdeführers nach Kabul als zumutbar. Die Ausführungen in der Beschwerde vermögen an dieser Einschätzung nichts zu ändern, weshalb darauf verzichtet werden kann, weiter darauf einzugehen.</w:t>
      </w:r>
    </w:p>
    <w:p>
      <w:r>
        <w:rPr>
          <w:b/>
        </w:rPr>
        <w:t>E. 5.4</w:t>
      </w:r>
    </w:p>
    <w:p>
      <w:r>
        <w:t>Schliesslich obliegt es dem Beschwerdeführer, sich bei der zuständi-gen Vertretung des Heimatstaates die für eine Rückkehr notwendigen Reisedokumente zu beschaffen (Art. 8 Abs. 4 AsylG; vgl. auch BVGE 2008/34 E. 12),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sind die Kosten in der Höhe von Fr. 600.-- (Art. 1 - 3 des Reglements vom 21. Februar 2008 über die Kosten und Entschädigungen vor dem Bundesverwaltungsgericht [VGKE, SR 173.320.2]) dem Beschwerdeführer aufzuerlegen (Art. 63 Abs. 1 VwVG). Sie sind durch den am 14. März 2013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