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D-1138/2025 vom 20. Januar 2025</w:t>
      </w:r>
    </w:p>
    <w:p>
      <w:r>
        <w:t>Bundesverwaltungsgericht, 2025-01-20, IT</w:t>
      </w:r>
    </w:p>
    <w:p>
      <w:r>
        <w:rPr>
          <w:b/>
        </w:rPr>
        <w:t xml:space="preserve">Quelle: </w:t>
      </w:r>
      <w:r>
        <w:t>https://mcp.opencaselaw.ch/entscheid/bvger_D-1138_2025_d20250120</w:t>
      </w:r>
    </w:p>
    <w:p>
      <w:r>
        <w:t>FR: TAF D-1138/2025 du 20 janvier 2025</w:t>
      </w:r>
    </w:p>
    <w:p>
      <w:r>
        <w:t>IT: TAF D-1138/2025 del 20 gennaio 2025</w:t>
      </w:r>
    </w:p>
    <w:p>
      <w:pPr>
        <w:pStyle w:val="Heading2"/>
      </w:pPr>
      <w:r>
        <w:t>Regeste</w:t>
      </w:r>
    </w:p>
    <w:p>
      <w:r>
        <w:t>Asilo (senza esecuzione dell'allontanamento) | Asilo (senza esecuzione dell'allontanamento); decisione della SEM del 20 gennaio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w:t>
      </w:r>
    </w:p>
    <w:p>
      <w:r>
        <w:t>D-1138/2025 Pagina 4 particolare le allegazioni che su punti importanti sono troppo poco fondate o contraddittorie, non corrispondono ai fatti o si basano in modo determi- nante su mezzi di prova falsi o falsificati (art. 7 cpv. 3 LAsi). La giurispru- denza e la dottrina riconoscono determinati elementi per riconoscere la ve- rosimiglianza delle allegazioni: quest’ultime devono essere sufficiente- mente fondate, concludenti e plausibili (cfr. DTAF 2013/11 consid. 5.1).</w:t>
      </w:r>
    </w:p>
    <w:p>
      <w:r>
        <w:rPr>
          <w:b/>
        </w:rPr>
        <w:t>E. 3.2</w:t>
      </w:r>
    </w:p>
    <w:p>
      <w:r>
        <w:t>Ciò posto, il Tribunale giudica che l’autorità inferiore ha correttamente concluso per l’inverosimiglianza delle allegazioni in relazione al preteso ri- schio di maltrattamenti e uccisione per mano degli zii (cfr. decisione avver- sata, pagg. 4-5). Le affermazioni del ricorrente presentano, infatti, diverse incongruenze logiche e non risultano plausibili. In particolare, egli sostiene di temere per la propria vita, ma giustifica tale affermazione unicamente sulla base del carattere violento degli zii, senza fornire elementi concreti che dimostrino una minaccia diretta e attuale nei suoi confronti (cfr. atto SEM n. 20/13 D51-53). L’unico episodio di violenza fisica risalente all’inizio del 2022 (idem D77-79) non è sufficiente per ammettere che i parenti in- tendano ancora perpetrargli dei maltrattamenti pregiudizievoli alla sua in- tegrità, considerato in particolare che il richiedente ha la possibilità di sta- bilirsi in un’altra regione del Paese, ad esempio ad C._______ dove ha vissuto per anni prima del suo espatrio senza subire alcuna ritorsione. Ri- sulta inoltre inspiegabile la difficoltà nel ricordare con precisione le date delle persecuzioni addotte (idem D62-63); tale incertezza mina ulterior- mente la sua credibilità. Pertanto, il timore che gli zii possano ancora rap- presentare un pericolo appare speculativo, posto altresì che dal 2022 l’in- sorgente non ha più avuto contatti con loro e non è mai stato oggetto di minacce dirette dopo l’espatrio (idem D68-69). Infine, la decisione di non sporgere denuncia contro i familiari in parola è stata giustificata con ragioni di opportunità e supposti favoritismi istituzionali, senza elementi concreti a supporto dell’asserita impunità di cui godrebbero gli zii (idem D70-76). In questo senso, la vaga censura secondo cui il ricorrente avrebbe narrato gli eventi con l’utilizzo del discorso diretto e fornito alcuni dettagli sui fatti ac- caduti, non può ragionevolmente giustificare le circostanze succitate, con le quali egli non si confronta neppure nel gravame (cfr. ricorso, pag. 4). Anche l’asserita difficoltà nel ricordare le date si rivela infondata: in as- senza di particolari affezioni mediche (non evincibili dagli atti), l’interessato dovrebbe infatti avere sufficiente memoria in relazione ad episodi di tale impatto personale, avendoli peraltro vissuti come determinanti per la sua decisione di espatriare. Posta l’inconcludenza delle allegazioni, il rischio di subire ulteriori maltrattamenti o di essere ucciso in caso di rimpatrio si di- mostra quindi inverosimile poiché fondato esclusivamente su congetture soggettive del richiedente.</w:t>
      </w:r>
    </w:p>
    <w:p>
      <w:r>
        <w:t>D-1138/2025 Pagina 5</w:t>
      </w:r>
    </w:p>
    <w:p>
      <w:r>
        <w:rPr>
          <w:b/>
        </w:rPr>
        <w:t>E. 3.3</w:t>
      </w:r>
    </w:p>
    <w:p>
      <w:r>
        <w:t>Ad ogni buon conto, secondo la teoria della protezione (“Schutztheo- rie”), le persecuzioni non riconducibili ad organi governativi – come nel caso in esame – rivestono un carattere determinante per l’asilo soltanto nel caso in cui lo Stato in questione non accordi la protezione necessaria alla persona interessata (cfr. DTAF 2013/11 consid. 5.1; 2011/51 consid. 6.1 e 7.1-7.4). Di riflesso, posto che alle autorità turche è di principio riconosciuta la capacità e la volontà di protezione (cfr. sentenze del TAF E-1948/2018 del 12 giugno 2018 consid. 5.2 [sentenza di riferimento]; D-3202/2024 del 27 settembre 2024 consid. 6), l’interessato deve comunque esaurire le pos- sibilità di protezione nel suo Paese d’origine prima di sollecitare la prote- zione della Svizzera (cfr. atto SEM n. D49 e D70-76), così come stabilito dal principio della sussidiarietà della protezione internazionale rispetto alla protezione nazionale di cui all’art. 1 della Convenzione sullo statuto dei ri- fugiati del 28 luglio 1951 (Conv. rifugiati, RS 0.142.30).</w:t>
      </w:r>
    </w:p>
    <w:p>
      <w:r>
        <w:rPr>
          <w:b/>
        </w:rPr>
        <w:t>E. 3.4</w:t>
      </w:r>
    </w:p>
    <w:p>
      <w:r>
        <w:t>Infine, la richiesta di giudizio deputata alla concessione dell’ammis- sione provvisoria in Svizzera si rivela manifestamente inammissibile (cfr. ricorso, pagg. 4-5). Infatti, considerato il potenziale diritto al rilascio di un permesso di dimora ai sensi degli artt. 43 segg. della legge federale sugli stranieri e la loro integrazione (LStrI, RS 142.20), derivante dal matrimonio contratto in Svizzera con U.U. (titolare di un permesso C), spetta alle auto- rità cantonali di polizia degli stranieri pronunciarsi sull’allontanamento dell’interessato (cfr. Giurisprudenza ed informazioni della Commissione svizzera di ricorso in materia d'asilo [GICRA] 2001 n. 21 consid. 8d).</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Di riflesso, il ricorso va respinto e la decisione avversata confermata.</w:t>
      </w:r>
    </w:p>
    <w:p>
      <w:r>
        <w:rPr>
          <w:b/>
        </w:rPr>
        <w:t>E. 5</w:t>
      </w:r>
    </w:p>
    <w:p>
      <w:r>
        <w:t>Le domande deputate alla concessione dell’assistenza giudiziaria (art. 65 cpv. 1 PA) e del gratuito patrocinio (art. 102m LAsi) vanno respinte poiché le richieste di giudizio presentate con il ricorso erano sprovviste di proba- bilità di esito favorevole.</w:t>
      </w:r>
    </w:p>
    <w:p>
      <w:r>
        <w:t>D-1138/2025 Pagina 6</w:t>
      </w:r>
    </w:p>
    <w:p>
      <w:r>
        <w:rPr>
          <w:b/>
        </w:rPr>
        <w:t>E. 6</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D-1138/2025 Pagina 7 Per questi motivi, il Tribunale amministrativo federale pronun- cia: 1. Il ricorso è respinto. 2. Le domande di assistenza giudiziaria e di gratuito patrocinio sono respinte.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