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D-1119/2024 vom 24. Januar 2024</w:t>
      </w:r>
    </w:p>
    <w:p>
      <w:r>
        <w:t>Bundesverwaltungsgericht, 2024-01-24, DE</w:t>
      </w:r>
    </w:p>
    <w:p>
      <w:r>
        <w:rPr>
          <w:b/>
        </w:rPr>
        <w:t xml:space="preserve">Quelle: </w:t>
      </w:r>
      <w:r>
        <w:t>https://mcp.opencaselaw.ch/entscheid/bvger_D-1119_2024_d20240124</w:t>
      </w:r>
    </w:p>
    <w:p>
      <w:r>
        <w:t>FR: TAF D-1119/2024 du 24 janvier 2024</w:t>
      </w:r>
    </w:p>
    <w:p>
      <w:r>
        <w:t>IT: TAF D-1119/2024 del 24 gennaio 2024</w:t>
      </w:r>
    </w:p>
    <w:p>
      <w:pPr>
        <w:pStyle w:val="Heading2"/>
      </w:pPr>
      <w:r>
        <w:t>Regeste</w:t>
      </w:r>
    </w:p>
    <w:p>
      <w:r>
        <w:t>Familienzusammenf&amp;uuml;hrung (Asyl) | Familienzusammenführung (Asyl); Verfügung des SEM vom 24. Januar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auch vorliegend – end- gültig (Art. 105 AsylG; Art. 83 Bst. d Ziff. 1 BGG).</w:t>
      </w:r>
    </w:p>
    <w:p>
      <w:r>
        <w:rPr>
          <w:b/>
        </w:rPr>
        <w:t>E. 1.2</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51 Abs. 1 AsylG werden Ehegatten von Flüchtlingen und ihre minderjährigen Kinder als Flüchtlinge anerkannt und erhalten Asyl, wenn keine besonderen Umstände dagegen sprechen. In der Schweiz ge- borene Kinder von Flüchtlingen werden gemäss Art. 51 Abs. 3 AsylG auch als Flüchtlinge anerkannt, sofern wiederum keine besonderen Umstände dagegen sprechen. Dem Einbezug in die Flüchtlingseigenschaft und der</w:t>
      </w:r>
    </w:p>
    <w:p>
      <w:r>
        <w:t>D-1119/2024 Seite 4 Asylgewährung entgegenstehende "besondere Umstände" sind insbeson- dere anzunehmen, wenn der Flüchtling seinen Status derivativ erworben hat oder wenn das Familienleben während einer längeren Zeit nicht gelebt wurde und erkennbar ist, dass die Familienmitglieder nicht den Willen ha- ben, als Familie zusammenzuleben (vgl. zum Ganzen BVGE 2012/32 E. 5.1).</w:t>
      </w:r>
    </w:p>
    <w:p>
      <w:r>
        <w:rPr>
          <w:b/>
        </w:rPr>
        <w:t>E. 4.2</w:t>
      </w:r>
    </w:p>
    <w:p>
      <w:r>
        <w:t>Grundgedanke des Familienasyls gemäss Art. 51 AsylG ist es, der ge- samten Familie eines Flüchtlings einen einheitlichen Rechtsstatus zu ge- währleisten. Dies setzt aber ein Zusammenleben respektive eine effektiv gelebte Familienbeziehung des den Einbezug beantragenden Kindes mit dem Elternteil, dem die Flüchtlingseigenschaft originär zuerkannt wurde, voraus. Massgeblicher Zeitpunkt zur Feststellung, ob die Voraussetzungen des Familienasyls erfüllt sind, ist derjenige des Entscheids (vgl. hierzu Ur- teil des BVGer D-273/2017 vom 26. Januar 2017 E. 4.2 m.w.H.).</w:t>
      </w:r>
    </w:p>
    <w:p>
      <w:r>
        <w:rPr>
          <w:b/>
        </w:rPr>
        <w:t>E. 5.1</w:t>
      </w:r>
    </w:p>
    <w:p>
      <w:r>
        <w:t>Dem Vater von B._______ wurde mit Verfügung des SEM vom 26. Mai 2016 die Flüchtlingseigenschaft zuerkannt und Asyl gewährt. Die Be- schwerdeführerin wurde (…) 2021 in die Flüchtlingseigenschaft und das Asyl ihres Ehemannes einbezogen, nachdem sie (…) 2021 zwecks Fami- liennachzug in die Schweiz eingereist war. Der in der Schweiz geborene Sohn B._______ erfüllt damit grundsätzlich die Voraussetzungen für die Zuerkennung der derivativen Flüchtlingseigenschaft gemäss Art. 51 Abs. 3 AsylG. Es bleibt zu prüfen, ob ein besonderer Umstand gegeben ist, der gegen den Einbezug des seinen Eltern zuerkannten Flüchtlingsstatus spricht.</w:t>
      </w:r>
    </w:p>
    <w:p>
      <w:r>
        <w:rPr>
          <w:b/>
        </w:rPr>
        <w:t>E. 5.2</w:t>
      </w:r>
    </w:p>
    <w:p>
      <w:r>
        <w:t>Gemäss Angaben der Eltern (Stand: September/Oktober 2023) lebe B._______ seit Ende Dezember 2022 zusammen mit der Beschwerdefüh- rerin getrennt vom Vater respektive Ehemann. Der Vater sehe sein Kind derzeit nicht; gemäss Angaben der Beschwerdeführerin seit (…) November 2022. Eine Besuchsregelung bestehe keine und der Vater bezahle keine Unterhaltsbeiträge. Weiter gibt die Beschwerdeführerin in ihrer Stellung- nahme an, dass sie keinen Kontakt zu ihrem Ehemann pflege und ein ge- meinsames Zusammenleben eine Gefahr für sie und ihren Sohn darstellen würde. Sie könne sich daher nicht vorstellen, wieder mit ihm zusammen- zuleben (vgl. act. […]-13/4 und […]-14/3).</w:t>
      </w:r>
    </w:p>
    <w:p>
      <w:r>
        <w:rPr>
          <w:b/>
        </w:rPr>
        <w:t>E. 5.3</w:t>
      </w:r>
    </w:p>
    <w:p>
      <w:r>
        <w:t>Aufgrund dieser Angaben stellt sich das SEM zu Recht auf den Stand- punkt, dass es an der Voraussetzung einer effektiv gelebten Beziehung</w:t>
      </w:r>
    </w:p>
    <w:p>
      <w:r>
        <w:t>D-1119/2024 Seite 5 zwischen B._______ mit dem originär als Flüchtling anerkannten Elternteil (dem Vater) fehlt. Daran vermag auch der Einwand auf Beschwerdeebene nichts zu ändern, wonach sich die Beiständin aktuell um die Regelung des Besuchsrechts kümmere, zumal sich die Auswirkung dieser Bemühungen auf die in Zukunft gelebte Vater-Kind-Beziehung aufgrund der offenbar massiven innerfamiliären Probleme nur schwer abschätzen lässt.</w:t>
      </w:r>
    </w:p>
    <w:p>
      <w:r>
        <w:rPr>
          <w:b/>
        </w:rPr>
        <w:t>E. 5.4</w:t>
      </w:r>
    </w:p>
    <w:p>
      <w:r>
        <w:t>Ein Einbezug in die Flüchtlingseigenschaft der Beschwerdeführerin ist aufgrund des Umstandes, dass sie diesen Status lediglich derivativ erwor- ben hat, nicht möglich.</w:t>
      </w:r>
    </w:p>
    <w:p>
      <w:r>
        <w:rPr>
          <w:b/>
        </w:rPr>
        <w:t>E. 6</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7</w:t>
      </w:r>
    </w:p>
    <w:p>
      <w:r>
        <w:t>Bei diesem Ausgang des Verfahrens sind die Kosten der Beschwerde- führerin aufzuerlegen (Art. 63 Abs. 1 VwVG) und auf insgesamt Fr. 750.– festzusetzen (Art. 1–3 des Reglements vom 21. Februar 2008 über die Kosten und Entschädigungen vor dem Bundesverwaltungsgericht [VGKE, SR 173.320.2]).</w:t>
      </w:r>
    </w:p>
    <w:p>
      <w:r>
        <w:t>(Dispositiv nächste Seite)</w:t>
      </w:r>
    </w:p>
    <w:p>
      <w:r>
        <w:t>D-1119/2024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