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D-1116/2019 vom 3. Dezember 2020</w:t>
      </w:r>
    </w:p>
    <w:p>
      <w:r>
        <w:t>Bundesverwaltungsgericht, 2020-12-03, DE</w:t>
      </w:r>
    </w:p>
    <w:p>
      <w:r>
        <w:rPr>
          <w:b/>
        </w:rPr>
        <w:t xml:space="preserve">Quelle: </w:t>
      </w:r>
      <w:r>
        <w:t>https://mcp.opencaselaw.ch/entscheid/bvger_D-1116_2019</w:t>
      </w:r>
    </w:p>
    <w:p>
      <w:r>
        <w:t>FR: TAF D-1116/2019 du 3 décembre 2020</w:t>
      </w:r>
    </w:p>
    <w:p>
      <w:r>
        <w:t>IT: TAF D-1116/2019 del 3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desAusländerrechts nach Art. 49 VwVG (vgl. BVGE 2014/26 E. 5).</w:t>
      </w:r>
    </w:p>
    <w:p>
      <w:r>
        <w:rPr>
          <w:b/>
        </w:rPr>
        <w:t>E. 3.1</w:t>
      </w:r>
    </w:p>
    <w:p>
      <w:r>
        <w:t>Auf Beschwerdeebene werden formelle Rügen erhoben, welche vorab zu beurteilen sind, da sie gegebenenfalls geeignet sind, eine Kassation der vorinstanzlichen Verfügung zu bewirken.</w:t>
      </w:r>
    </w:p>
    <w:p>
      <w:r>
        <w:rPr>
          <w:b/>
        </w:rPr>
        <w:t>E. 3.2</w:t>
      </w:r>
    </w:p>
    <w:p>
      <w:r>
        <w:t>Die Beschwerdeführerin rügt, die Vorinstanz habe das Recht auf Prüfung der Parteivorbringen und der damit zusammenhängenden Begründungspflicht verletzt, indem sie die von ihr eingereichte eritreische Geburtsurkunde nicht gewürdigt habe. Zudem habe die Vorinstanz ihr keine Akteneinsicht in die Ergebnisse der Handknochenanalyse gewährt und damit ihren Anspruch auf rechtliches Gehör verletzt.</w:t>
      </w:r>
    </w:p>
    <w:p>
      <w:r>
        <w:rPr>
          <w:b/>
        </w:rPr>
        <w:t>E. 3.3</w:t>
      </w:r>
    </w:p>
    <w:p>
      <w:r>
        <w:t>Das SEM ist in seiner Verfügung vom 31. Januar 2019 von der Volljährigkeit der Beschwerdeführerin im Zeitpunkt der Asylantragstellung ausgegangen, obwohl die Beschwerdeführerin im erstinstanzlichen Verfahren eine Taufurkunde im Original eingereicht hatte (vgl. SEM-act. A25 Ziff. 1), derzufolge sie im Zeitpunkt der Asylantragstellung in der Schweiz minderjährig war. Wie in der Zwischenverfügung vom 8. Juli 2019 bereits aufgeworfen, hat das SEM aufgrund der Tatsache, dass es sich vor diesem Hintergrund nicht inhaltlich zur Taufurkunde geäussert hat, seine Begründungspflicht verletzt. Dieses Versäumnis hat die Vorinstanz indes nachgeholt, indem sie sich in ihrer Vernehmlassung zur Taufurkunde der Beschwerdeführerin äusserte und insbesondere festhielt, dass jene im «Kontext der Prüfung der restlichen Angaben und Abklärungen» zum Alter der Beschwerdeführerin (Handknochenanalyse, rechtliches Gehör, Aussageverhalten) an der fehlenden Glaubhaftigkeit ihrer Altersangaben nichts zu ändern vermöge. Die Beschwerdeführerin erhielt danach Gelegenheit zur Replik und nahm sie auch wahr. Damit kann der festgestellte Verfahrensmangel als geheilt betrachtet werden (zu den Voraussetzungen der Heilung von Gehörsverletzungen vgl. BVGE 2008/47 E. 3.3.4 m.w.H.). Soweit die Beschwerdeführerin in ihrer Replik geltend macht, ihr sei durch die Vorinstanz keine Einsicht in die Akten der Handknochenanalyse gewährt worden, ist festzuhalten, dass den vorinstanzlichen Akten weder zu entnehmen ist, dass die Beschwerdeführerin überhaupt je ein Akteneinsichtsgesuch gestellt hat, noch, dass das SEM ihr die Akteneinsicht verweigert hätte. Mit der angefochtenen Verfügung wurden der Beschwerdeführerin die editionspflichtigen Akten, darunter auch das Aktenstück A6/1, ausgehändigt. Ohnehin wurde der Beschwerdeführerin in der BzP vom 29. Juli 2016 das rechtliche Gehör zur beabsichtigten Altersanpassung durch das SEM gewährt. Bei dieser Sachlage besteht mithin keine Veranlassung, die Sache an die Vorinstanz zurückzuweisen. Das diesbezügliche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Entgegen der in der Beschwerde erhobenen Rüge hat sich das SEM im vorliegenden Fall keine unrichtige Anwendung der Beweisregel von Art. 7 AsylG vorzuwerfen. Wie in der angefochtenen Verfügung mit umfassender Begründung zutreffend erläutert wird, halten die Vorbringen der Beschwerdeführerin in den wesentlichen Punkten den Anforderungen an das reduzierte Beweismass des Glaubhaftmachens nicht stand. So stehen die geltend gemachten Behelligungen und die Vergewaltigung durch einen Sicherheitsbeamten an ihrer Schule im Zentrum ihres Asylgesuchs. Diese Vorkommnisse wurden in der BzP - trotz insgesamt sieben einschlägigen Fragen und zweimaligem expliziten Nachfragen - von der Beschwerdeführerin indes nicht ansatzweise erwähnt (vgl. SEM-act. A7, Ziff. 7.01, 7.03). Zwar ist der Beschwerdeführerin insoweit beizupflichten, dass sowohl die Andeutung von sexuellen Übergriffen als auch das ausführliche Berichten darüber einer betroffenen Person schwerfallen dürfte. Es wird auch nicht in Abrede gestellt, dass möglicherweise eine Traumatisierung das Aussageverhalten von Menschen beeinflussen und bisweilen dazu führen kann, dass ein Sachverhalt nicht vollumfänglich strukturiert und kohärent dargestellt wird. Indessen ist auch in diesen Fällen davon auszugehen, dass die Aussagen in den Kernpunkten ohne erhebliche Widersprüche und weitgehend übereinstimmend ausfallen, zumal es dabei einzig darum geht, über selbst Erlebtes zu berichten. Das weitere Argument der Beschwerdeführerin in der Rechtsmitteleingabe, sie habe nicht gewusst, dass ihre Aussagen in der Erstbefragung vertraulich behandelt würden, und deswegen unvollständige und teils unrichtige Angaben gemacht habe, kann spätestens ab den einleitenden Bemerkungen in der BzP (Hinweis auf Mitwirkungs- und Wahrheitspflicht der Beschwerdeführerin sowie Verschwiegenheitspflicht der Asylbehörden) nicht mehr beansprucht werden und vermag die aufgezeigten Ungereimtheiten ebenfalls nicht zu entkräften. Entgegen der Beschwerde gibt es auch keine Hinweise, dass es in der BzP zu Übersetzungsfehlern gekommen wäre. Die Beschwerdeführerin gab zu Beginn der BzP vom 29. Juli 2016 zu Protokoll, die Übersetzerin gut zu verstehen (vgl. SEM-act. A7, S. 2) und bestätigte am Ende der BzP, die Dolmetscherin gut verstanden zu haben (vgl. SEM-act. A7, Ziff. 9.02). Auch bestätigte sie unterschriftlich, dass ihr das Protokoll in eine ihr verständliche Sprache (Tigrinya) rückübersetzt worden sei und ihren Aussagen entspreche (vgl. SEM-act. A7, S. 10). Darauf muss sie sich behaften lassen. Sodann hat die Vorinstanz die Vorbringen der Beschwerdeführerin nicht einzig aufgrund der als nachgeschoben erachteten Aussagen zur Vergewaltigung angezweifelt. Als weiteren Grund für die Unglaubhaftigkeit der vorgebrachten Vergewaltigung beurteilte sie die in diesem Zusammenhang substanzlosen, undifferenzierten sowie keine Realkennzeichen aufweisenden Aussagen der Beschwerdeführerin. In der Tat beschränkte sich die Beschwerdeführerin bei der Schilderung der Vergewaltigung auf allgemeine, unsubstanziierte Angaben und zeigte keinerlei Emotionen oder persönliche Betroffenheit (vgl. SEM-act. A24, S. 6 ff.). Die in der Beschwerde vertretene Sichtweise, dass die Ausführungen der Beschwerdeführerin den Umständen entsprechend detailliert gewesen seien, findet in den Protokollen keine Bestätigung. Mit Eingabe vom 3. April 2020 hat die Beschwerdeführerin zudem einen ärztlichen Bericht der (...), datiert vom 16. März 2020, eingereicht, worin ihr das Vorliegen einer Posttraumatischen Belastungsstörung (PTBS) attestiert wird. Hierzu ist festzuhalten, dass die Diagnose einer PTBS für sich allein keinen Beweis für eine behauptete Misshandlung bildet. Vielmehr ist sie im Rahmen der Beweiswürdigung in Beziehung zu den anderen für die Beurteilung der Glaubhaftigkeit der behaupteten Verfolgung bedeutsamen Sachverhaltselementen zu bringen (vgl. BVGE 2015/11 E. 7.2, m.w.H.). Aufgrund der vorstehenden Erwägungen (erhebliche Zweifel an der Glaubhaftigkeit der gesuchsbegründenden Aussagen) kann der ärztliche Befund vorliegend nicht als ausschlaggebendes Indiz für die Glaubhaftigkeit der Vorbringen der Beschwerdeführerin gewertet werden. Sodann vermag auch das auf Beschwerdeebene nachgereichte eritreische Schulzeugnis die von der Beschwerdeführerin behauptete Minderjährigkeit nicht zu belegen, zumal solchen Dokumenten aufgrund der sehr leichten Fälschbarkeit ein lediglich geringer Beweiswert zukommt (vgl. statt vieler Urteil des BVGer E-3819/2019 vom 28. November 2019 E. 8.3.4). Dies gilt umso mehr als es sich entgegen der Beschwerdeführerin beim Beweismittel um eine blosse Kopie zu handeln scheint. Das SEM hat im Ergebnis somit hinreichend und nachvollziehbar sowie zutreffend begründet, dass sich aufgrund des gesamten Aussageverhaltens der Beschwerdeführerin das ausgeprägte Bild einer konstruierten Verfolgungssituation ergibt.</w:t>
      </w:r>
    </w:p>
    <w:p>
      <w:r>
        <w:rPr>
          <w:b/>
        </w:rPr>
        <w:t>E. 5.2</w:t>
      </w:r>
    </w:p>
    <w:p>
      <w:r>
        <w:t>Aufgrund einer allfälligen illegalen Ausreise der Beschwerdeführerin aus Eritrea - deren Glaubhaftigkeit vorliegend offenbleiben kann - ergibt sich ebenfalls keine flüchtlingsrechtlich relevante Verfolgungsgefahr. Das Bundesverwaltungsgericht ging in seiner früheren Rechtsprechung zwar davon aus, dass bei einer illegalen Ausreise aus Eritrea im Falle einer Rückkehr die Gefahr einer flüchtlingsrechtlich relevanten Bestrafung bestehe. Im Referenzurteil D-7898/2015 vom 30. Januar 2017 kam das Gericht aber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führten (vgl. Referenzurteil D-7898/2015 E. 4.1 und E. 5.1 f.). Eine solche Profilschärfung ist im Falle der Beschwerdeführerin zu verneinen, da sie - wie oben dargelegt - keine Vorverfolgung glaubhaft zu machen vermochte. Auch sonst sind den Akten keine entsprechenden Anknüpfungspunkte zu entnehmen.</w:t>
      </w:r>
    </w:p>
    <w:p>
      <w:r>
        <w:rPr>
          <w:b/>
        </w:rPr>
        <w:t>E. 5.3</w:t>
      </w:r>
    </w:p>
    <w:p>
      <w:r>
        <w:t>Die Vorinstanz hat das Vorliegen sowohl von Vorflucht- als auch von Nachfluchtgründen somit zu Recht verneint. Folgerichtig blieb der Beschwerdeführerin die Gewährung von Asyl durch die schweizerischen Behörden versagt (Art. 2 Abs. 1 und Art. 49 AsylG). Die Ablehnung des entsprechenden Gesuchs durch die Vorinstanz ist zu bestätigen.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Die Vorinstanz beurteilt den Wegweisungsvollzug in ihrer angefochtenen Verfügung als zulässig, zumutbar und möglich.</w:t>
      </w:r>
    </w:p>
    <w:p>
      <w:r>
        <w:rPr>
          <w:b/>
        </w:rPr>
        <w:t>E. 8.2</w:t>
      </w:r>
    </w:p>
    <w:p>
      <w:r>
        <w:t>Die Beschwerdeführerin führt in ihrem Rechtsmittel im Wesentlichen aus, der Wegweisungsvollzug sei angesichts der ihr in Eritrea drohenden Einziehung in den Nationaldienst unzulässig. Sie macht sinngemäss geltend, der von der Vorinstanz angeordnete Vollzug verletze Art. 3 und 4 Abs. 1 und 2 EMRK.</w:t>
      </w:r>
    </w:p>
    <w:p>
      <w:r>
        <w:rPr>
          <w:b/>
        </w:rPr>
        <w:t>E. 8.3</w:t>
      </w:r>
    </w:p>
    <w:p>
      <w:r>
        <w:t>Aufgrund des Alters der Beschwerdeführerin bei ihrer Ausreise aus Eritrea erscheint ihre Befürchtung, bei einer Rückkehr in den Nationaldienst eingezogen zu werden, nicht gänzlich unplausibel (vgl. das Urteil des BVGer D-2311/2016 vom 17. August 2017, E. 13.2-13.4 [als Referenzurteil publiziert]). Die Frage kann aber angesichts nachfolgender Erwägungen offenbleiben (vgl. unten E. 9.4).</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9.3</w:t>
      </w:r>
    </w:p>
    <w:p>
      <w:r>
        <w:t>Das flüchtlingsrechtliche Refoulement-Verbot schützt nur Personen, welche die Flüchtlingseigenschaft erfüllen. Da es sich bei der Beschwerdeführerin, wie oben festgestellt, nicht um einen Flüchtling handelt, kann der in Art. 5 AsylG verankerte Grundsatz der Nichtrückschiebung auf ihren Fall keine Anwendung finden. Eine Rückschaffung der Beschwerdeführerin in den Heimatstaat ist demnach unter dem Aspekt von Art. 5 AsylG rechtmässig. Die Zulässigkeit des Vollzugs beurteilt sich deshalb vielmehr nach den übrigen verfassungs- und völkerrechtlichen Bestimmungen (Art. 25 Abs. 3 BV; Art. 3 FoK Art. 3 und 4 EMRK).</w:t>
      </w:r>
    </w:p>
    <w:p>
      <w:r>
        <w:rPr>
          <w:b/>
        </w:rPr>
        <w:t>E. 9.4</w:t>
      </w:r>
    </w:p>
    <w:p>
      <w:r>
        <w:t>Gemäss dem Koordinationsentscheid des Bundesverwaltungsgerichts BVGE 2018 VI/4 vom 10. Juli 2018 E. 6.1 insbes. 6.1.6 und E. 6.1.8 stehen das Verbot der Sklaverei und der Leibeigenschaft (Art. 4 Abs. 1 EMRK) dem Vollzug der Wegweisung der Beschwerdeführerin auch bei einer anstehenden Einziehung in den Nationaldienst nicht entgegen. Sodann ist gemäss dem erwähnten Koordinationsentscheid auch nicht davon auszugehen, es bestehe generell das ernsthafte Risiko einer krassen Verletzung des Verbots der Zwangs- und Pflichtarbeit während des Nationaldiensts im Sinne von Art. 4 Abs. 2 EMRK sowie einer Verletzung des Verbots von Art. 3 EMRK.</w:t>
      </w:r>
    </w:p>
    <w:p>
      <w:r>
        <w:rPr>
          <w:b/>
        </w:rPr>
        <w:t>E. 9.5</w:t>
      </w:r>
    </w:p>
    <w:p>
      <w:r>
        <w:t>Aus den Akten ergeben sich - selbst bei einem Einzug in den Nationaldienst -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Urteil BVGE 2018 VI/4 E. 6.1.7).</w:t>
      </w:r>
    </w:p>
    <w:p>
      <w:r>
        <w:rPr>
          <w:b/>
        </w:rPr>
        <w:t>E. 9.7</w:t>
      </w:r>
    </w:p>
    <w:p>
      <w:r>
        <w:t>Der Vollzug der Wegweisung der Beschwerdeführerin erweist sich damit - sowohl im Sinn der landes- als auch der völkerrechtlichen Bestimmungen - als zulässig. 10.10.1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10.2 Gemäss dem zitierten Koordinationsentscheid (E. 6.2) vermag die bevorstehende Einziehung in den eritreischen Nationaldienst allein nicht zur Annahme einer existenziellen Gefährdung zu führen. 10.3 In seinem Urteil D-2311/2016 vom 17. August 2017 (als Referenzurteil publiziert) hatte sich das Bundesverwaltungsgericht ausführlich mit der Zumutbarkeit des Wegweisungsvollzugs nach Eritrea beschäftigt. Dabei kam es zum Schluss, die frühere Praxis, dass eine Rückkehr nur bei begünstigenden individuellen Umständen zumutbar sei (vgl. Entscheidungen und Mitteilungen der vormaligen Schweizerischen Asylrekurskommission [EMARK] 2005 Nr. 12), sei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Vorliegend sind keine individuellen Gründe ersichtlich, welche die Rückkehr der Beschwerdeführerin nach Eritrea als unzumutbar erscheinen liessen. Bei der Beschwerdeführerin handelt es sich um eine junge Frau mit einem breiten Netz an verwandtschaftlichen Beziehungen in Eritrea (Mutter, Vater, Geschwister, Onkel und Tanten; vgl. SEM-act. A7, Ziff. 3.01). Zudem verfügt sie über Schulbildung (vgl. SEM-act. A7, Ziff. 1.17.04). Gemäss dem ärztlichen Bericht der (...), datiert vom 16. März 2020, leidet die Beschwerdeführerin im Wesentlichen unter einer Posttraumatischen Belastungsstörung (PTBS). Dem genannten Bericht ist sodann weiter zu entnehmen, dass die Beschwerdeführerin keine weitere psychotherapeutische oder medikamentöse Behandlung wünscht. Vor diesem Hintergrund ist nicht davon auszugehen, dass die Beschwerdeführerin auf eine weitere ärztliche Betreuung angewiesen ist. Soweit eine solche bei einer Rückkehr in den Heimatstaat dennoch indiziert sein sollte, kann sie sich in Eritrea in medizinische Behandlung begeben. Das Bundesverwaltungsgericht geht nämlich davon aus, dass psychische Erkrankungen in Eritrea grundsätzlich behandelbar sind (vgl. hierzu bspw. auch das Urteil des BVGer D-5898/2016 vom 12. Februar 2020 E. 9.1.3 und E. 9.2.2 [Bejahung der Zulässigkeit und Zumutbarkeit des Wegweisungsvollzugs nach Eritrea bei einer Person mit komplexer PTBS]). Besondere Umstände, aufgrund derer von einer Existenzbedrohung ausgegangen werden müsste, sind vorliegend keine ersichtlich. 10.4 Nach dem Gesagten erweist sich der Vollzug der Wegweisung nicht als unzumutbar im Sinn von Art. 83 Abs. 4 AIG. 11.Schliesslich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Dass zurzeit eine zwangsweise Rückschaffung nach Eritrea nicht zu Gebote steht, steht der Feststellung der Möglichkeit des Vollzugs nicht entgegen, zumal eine freiwillige Rückkehr möglich ist. 12.Zusammenfassend ist festzustellen, dass die Vorinstanz den Wegweisungsvollzug zu Recht als zulässig, zumutbar und möglich qualifiziert hat. Die Anordnung der vorläufigen Aufnahme fällt somit ausser Betracht (Art. 83 Abs. 1-4 AIG). 13.Aus diesen Erwägungen ergibt sich, dass die angefochtene Verfügung Bundesrecht nicht verletzt, den rechtserheblichen Sachverhalt richtig sowie vollständig feststellt (Art. 106 Abs. 1 AsylG) und - soweit überprüfbar - angemessen ist. Für eine Rückweisung der Sache besteht kein Anlass. Die Beschwerde ist abzuweisen.</w:t>
      </w:r>
    </w:p>
    <w:p>
      <w:r>
        <w:rPr>
          <w:b/>
        </w:rPr>
        <w:t>E. 14.1</w:t>
      </w:r>
    </w:p>
    <w:p>
      <w:r>
        <w:t>Bei diesem Ausgang des Verfahrens wären die Kosten der Beschwerdeführerin aufzuerlegen (Art. 63 Abs. 1 VwVG). Nachdem jedoch das mit der Beschwerde gestellte Gesuch um Gewährung der unentgeltlichen Prozessführung mit Zwischenverfügung vom 8. Juli 2019 gutgeheissen wurde, sind keine Kosten aufzuerlegen.</w:t>
      </w:r>
    </w:p>
    <w:p>
      <w:r>
        <w:rPr>
          <w:b/>
        </w:rPr>
        <w:t>E. 14.2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Vorliegend wurde die Frage einer möglichen Verletzung der Begründungspflicht als Teilgehalt des Anspruchs auf rechtliches Gehör durch das Gericht aufgeworfen; diese ist aber geheilt worden (vgl. oben E. 3.3). Dennoch ist letztlich von einem Obsiegen der Beschwerdeführerin in diesem Punkt auszugehen. Da der ihr diesbezügliche entstandene Aufwand (Ausführungen in der Replik) als gering einzustufen ist (weniger als Fr. 100.-), ist von einer Parteientschädigung abzusehen.</w:t>
      </w:r>
    </w:p>
    <w:p>
      <w:r>
        <w:rPr>
          <w:b/>
        </w:rPr>
        <w:t>E. 14.3</w:t>
      </w:r>
    </w:p>
    <w:p>
      <w:r>
        <w:t>Ebenfalls mit Zwischenverfügung vom 8. Juli 2019 wurde der rubrizierte Rechtsvertreter als amtlicher Rechtsbeistand eingesetzt. Dieser ist unbesehen des Ausgangs des Verfahrens zu entschädigen.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Der Rechtsvertreter hat keine Kostennote eingereicht. Auf eine Nachforderung kann verzichtet werden, da sich die Vertretungskosten aufgrund der Akten abschätzen lassen (Art. 14 Abs. 2 VGKE). Der Rechtsvertreter hat im Rahmen seines amtlichen Mandats eine Beschwerde eingereicht; zudem hat er die Vernehmlassung der Vorinstanz zur Kenntnis erhalten und dazu eine Replik verfasst. Bei der Beschwerdeeingabe ist zu berücksichtigen, dass diese auch noch Erwägungen zum Ausstandsbegehren beinhaltet, auf das mit Urteil D-1149/2019 vom 17. April 2019 nicht eingetreten wurde. Dies ist vom Honorar zu einem Drittel in Abzug zu bringen. Dem Rechtsbeistand ist durch das Bundesverwaltungsgericht gestützt auf die in Betracht zu ziehenden Bemessungsfaktoren (Art. 9-13 VGKE) ein amtliches Honorar in der Höhe von Fr. 900.- (inkl. Auslagen und Mehrwertsteuer) auszurichten. Der nicht mehr im Anwaltsregister eingetragene Rechtsvertreter kann nicht mehr als amtlicher Rechtsbeistand walten und ist antragsgemäss zu entlassen, wobei sich mit vorliegendem Urteil die Bestellung eines neuen amtlichen Rechtsvertreters erübrigt.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