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D-1113/2016 vom 8. April 2016</w:t>
      </w:r>
    </w:p>
    <w:p>
      <w:r>
        <w:t>Bundesverwaltungsgericht, 2016-04-08, DE</w:t>
      </w:r>
    </w:p>
    <w:p>
      <w:r>
        <w:rPr>
          <w:b/>
        </w:rPr>
        <w:t xml:space="preserve">Quelle: </w:t>
      </w:r>
      <w:r>
        <w:t>https://mcp.opencaselaw.ch/entscheid/bvger_D-1113_2016</w:t>
      </w:r>
    </w:p>
    <w:p>
      <w:r>
        <w:t>FR: TAF D-1113/2016 du 8 avril 2016</w:t>
      </w:r>
    </w:p>
    <w:p>
      <w:r>
        <w:t>IT: TAF D-1113/2016 del 8 aprile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bzw.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endgültig (Art. 105 AsylG; Art. 83 Bst. d Ziff. 1 BGG).</w:t>
      </w:r>
    </w:p>
    <w:p>
      <w:r>
        <w:rPr>
          <w:b/>
        </w:rPr>
        <w:t>E. 1.2</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(alt Art. 12, 19, 20, 41 Abs. 2, 52 und 68 AsylG) in der bisherigen Fassung anwendbar sind. Demnach sind auf den vorliegenden Fall die bisherigen Bestimmungen betreffend das Asylverfahren anzuwenden.</w:t>
      </w:r>
    </w:p>
    <w:p>
      <w:r>
        <w:rPr>
          <w:b/>
        </w:rPr>
        <w:t>E. 1.3</w:t>
      </w:r>
    </w:p>
    <w:p>
      <w:r>
        <w:t>Aus den Akten ergibt sich, dass die angefochtene Verfügung den Beschwerdeführerinnen am 3. Juli 2015 an ihre letzte bekannte (und immer noch aktuelle) Adresse zugestellt und damit grundsätzlich rechtsgültig eröffnet worden ist. Indessen steht fest, dass die Beschwerdeführerinnen nach erfolglosen Zustellversuchen der sri-lankischen Post erst nach erneuter und diesmal erfolgreicher Zustellung einer am 18. Januar 2016 von der Schweizerischen Vertretung versandten Kopie der angefochtenen Verfügung in der Folge erstmals von dieser Kenntnis erhielten. Bei dieser Aktenlage erscheint es sachgerecht, von der Rechtzeitigkeit der auf den 17. Februar 2016 datierter, beim Bundesverwaltungsgericht am 24. Februar 2016 eingegangener Eingabe auszugehen, auch wenn der Zeitpunkt der tatsächlichen Kenntnisnahme der angefochtenen Verfügung mangels Rückschein bei den Akten nicht feststeht.</w:t>
      </w:r>
    </w:p>
    <w:p>
      <w:r>
        <w:rPr>
          <w:b/>
        </w:rPr>
        <w:t>E. 1.4</w:t>
      </w:r>
    </w:p>
    <w:p>
      <w:r>
        <w:t>Die Beschwerdeführerinnen haben am Verfahren vor der Vorinstanz teilge­nommen, sind durch die angefochtene Verfügung besonders berührt, haben ein schutzwürdiges Interesse an deren Aufhebung beziehungs­weise Ände­rung und sind daher zur Einreichung der Beschwerde legiti­miert. Auf die frist- und formgerecht eingereichte Beschwerde ist einzutreten (Art. 108 AsylG sowie Art. 105 AsylG i.V.m. 37 VGG und Art. 48 Abs. 1 und Art. 52 VwVG).</w:t>
      </w:r>
    </w:p>
    <w:p>
      <w:r>
        <w:rPr>
          <w:b/>
        </w:rPr>
        <w:t>E. 2</w:t>
      </w:r>
    </w:p>
    <w:p>
      <w:r>
        <w:t>Mit Beschwerde kann die Verletzung von Bundesrecht sowie die unrichtige oder unvollständige Feststellung des rechtserheblichen Sachverhalts gerügt werden (Art. 106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Ein Asylgesuch kann gemäss alt Art. 19 AsylG im Ausland bei einer schwei­zerischen Vertretung gestellt werden, die es mit einem Bericht an das Bundesamt überweist (alt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was vorliegend geschehen ist.</w:t>
      </w:r>
    </w:p>
    <w:p>
      <w:r>
        <w:rPr>
          <w:b/>
        </w:rPr>
        <w:t>E. 5.1</w:t>
      </w:r>
    </w:p>
    <w:p>
      <w:r>
        <w:t>Das SEM kann ein im Ausland gestelltes Asylgesuch ablehnen, wenn die asylsuchende Person keine Verfolgung glaubhaft machen kann oder ihr die Aufnahme in einem Drittstaat zugemutet werden kann (vgl. Art. 3, Art. 7 und alt Art. 52 Abs. 2 AsylG).</w:t>
      </w:r>
    </w:p>
    <w:p>
      <w:r>
        <w:rPr>
          <w:b/>
        </w:rPr>
        <w:t>E. 5.2</w:t>
      </w:r>
    </w:p>
    <w:p>
      <w:r>
        <w:t>Gemäss alt 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5.3</w:t>
      </w:r>
    </w:p>
    <w:p>
      <w:r>
        <w:t>Aus nachfolgenden Gründen ist die Einschätzung des SEM in der angefochtenen Verfügung zu bestätigen, wonach sich aus den wesentlichen Vorbringen der Beschwerdeführerinnen, von Angehörigen der sri-lankischen Armee aufgesucht und befragt und von Unbekannten bedroht worden zu sein, keine asylrelevante Gefährdungssituation der Beschwerdeführerinnen ergebe.</w:t>
      </w:r>
    </w:p>
    <w:p>
      <w:r>
        <w:rPr>
          <w:b/>
        </w:rPr>
        <w:t>E. 5.4</w:t>
      </w:r>
    </w:p>
    <w:p>
      <w:r>
        <w:t>Wie die Vorinstanz zutreffend feststellt, ist zwar nicht auszuschliessen, dass die Beschwerdeführerinnen, deren Kinder beziehungsweise Geschwister der LTTE angehört haben sollen, auch nach Beendigung des Bürgerkrieges weiterhin unter Beobachtung der sri-lankischen Behörden standen. Indessen waren diese selbst nie Mitglieder der LTTE und waren keinen behördlichen Behelligungen von erheblicher Intensität ausgesetzt, was auf ein fehlendes Verfolgungsinteresse des sri-lankischen Staates schliessen lässt. Sodann ist nicht davon auszugehen, dass die Behelligungen die Beschwerdeführerinnen aus objektiver Sicht in die vom Asylgesetz geforderte Zwangslage versetzt haben, welche ihnen ein menschenunwürdiges Leben in Sri Lanka verunmöglicht oder in unzumutbarem Ausmass erschwert hätte (vgl. BVGE 2010/28 E. 3.3.1.1). An der Einschätzung der fehlenden konkreten Anhaltspunkte für eine begründeten Furcht vor künftiger Verfolgung vermögen weder die eingereichten Beweismittel, welche lediglich die als glaubhaft erachteten Vorbringen der Beschwerdeführenden stützen, noch die Argumente in der Beschwerde, welche überwiegend aus einer Wiederholung der im vor­instanzlichen Verfahren geltend gemachten Vorbringen bestehen, etwas zu ändern. Insbesondere ist darauf hinzuweisen, dass die erstmals in der Beschwerde vorgebrachte Behauptung der Beschwerdeführerinnen, sich aus Furcht vor Behelligungen nur sporadisch an der angegebenen Adresse aufzuhalten, als überzeichnet und nicht glaubhaft zu erachten ist. 6.Somit ist es den Beschwerdeführerinnen nicht gelungen, eine aktuelle Gefährdung im Sinne von Art. 3 AsylG aufzuzeigen, welche die Bewilligung der Ein­reise in die Schweiz rechtfertigen würde. Die Schutzbedürftigkeit der Beschwerdeführerinnen im Sinne von alt Art. 20 i.V.m. Art. 3 AsylG ist nicht gegeben. Im Übrigen ist auch eine Beziehungsnähe der Beschwerdeführerinnen zur Schweiz zu verneinen (alt Art. 52 Abs. 2 AsylG). Das SEM hat den Beschwerdeführerinnen zu Recht die Einreise in die Schweiz verweigert und deren Asylgesuche abgelehnt. 7.Aus diesen Erwägungen ergibt sich, dass die angefochtene Verfügung das Bundesrecht nicht verletzt und den rechtserheblichen Sachverhalt richtig sowie vollständig feststellt (Art. 106 Abs. 1 AsylG). Die Beschwerde ist daher abzuweisen. 8.Bei diesem Ausgang des Verfahrens wären dessen Kosten grundsätzlich den Beschwerdeführerinnen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