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D-110/2022 vom 8. Dezember 2021</w:t>
      </w:r>
    </w:p>
    <w:p>
      <w:r>
        <w:t>Bundesverwaltungsgericht, 2021-12-08, DE</w:t>
      </w:r>
    </w:p>
    <w:p>
      <w:r>
        <w:rPr>
          <w:b/>
        </w:rPr>
        <w:t xml:space="preserve">Quelle: </w:t>
      </w:r>
      <w:r>
        <w:t>https://mcp.opencaselaw.ch/entscheid/bvger_D-110_2022_d20211208</w:t>
      </w:r>
    </w:p>
    <w:p>
      <w:r>
        <w:t>FR: TAF D-110/2022 du 8 décembre 2021</w:t>
      </w:r>
    </w:p>
    <w:p>
      <w:r>
        <w:t>IT: TAF D-110/2022 del 8 dicembre 2021</w:t>
      </w:r>
    </w:p>
    <w:p>
      <w:pPr>
        <w:pStyle w:val="Heading2"/>
      </w:pPr>
      <w:r>
        <w:t>Regeste</w:t>
      </w:r>
    </w:p>
    <w:p>
      <w:r>
        <w:t>Asyl und Wegweisung | Asyl und Wegweisung; Verfügung des SEM vom 8. Dezember 2021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des Reglements vom 21. Februar 2008 über die Kosten und Entschädi- gungen vor dem Bundesverwaltungsgericht [VGKE, SR 173.320.2]) der Beschwerdeführerin aufzuerlegen sind (Art. 63 Abs. 1 VwVG) und der am 27. Januar 2022 in gleicher Höhe geleistete Kostenvorschuss zur Bezah- lung der Verfahrenskosten zu verwenden ist. (Dispositiv nächste Seite)</w:t>
      </w:r>
    </w:p>
    <w:p>
      <w:r>
        <w:t>D-110/2022 Seite 10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