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D-1100/2012 vom 12. Oktober 2012</w:t>
      </w:r>
    </w:p>
    <w:p>
      <w:r>
        <w:t>Bundesverwaltungsgericht, 2012-10-12, DE</w:t>
      </w:r>
    </w:p>
    <w:p>
      <w:r>
        <w:rPr>
          <w:b/>
        </w:rPr>
        <w:t xml:space="preserve">Quelle: </w:t>
      </w:r>
      <w:r>
        <w:t>https://mcp.opencaselaw.ch/entscheid/bvger_D-1100_2012</w:t>
      </w:r>
    </w:p>
    <w:p>
      <w:r>
        <w:t>FR: TAF D-1100/2012 du 12 octobre 2012</w:t>
      </w:r>
    </w:p>
    <w:p>
      <w:r>
        <w:t>IT: TAF D-1100/2012 del 12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Ein Asylgesuch kann gemäss Art. 19 AsylG im Ausland bei einer schweizerischen Vertretung gestellt werden, die es mit einem Bericht an das Bundesamt überweist (Art. 20 Abs. 1 AsylG).</w:t>
      </w:r>
    </w:p>
    <w:p>
      <w:r>
        <w:rPr>
          <w:b/>
        </w:rPr>
        <w:t>E. 4.2</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der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ff.).</w:t>
      </w:r>
    </w:p>
    <w:p>
      <w:r>
        <w:rPr>
          <w:b/>
        </w:rPr>
        <w:t>E. 4.3</w:t>
      </w:r>
    </w:p>
    <w:p>
      <w:r>
        <w:t>Vorliegend ging das BFM davon aus, der Sachverhalt sei aufgrund der schriftlichen Eingaben entscheidreif erstellt. Diese Sichtweise ist vertretbar, sind doch die Eingaben vom 4. Juni 2007 (schriftliches Asylgesuch) und vom 16. August 2007 (Ergänzung zum schriftlichen Asylgesuch) insgesamt detailliert und klar formuliert. Unter diesen Umständen erübrigte sich für die Vorinstanz die Aufbietung des Beschwerdeführers zu einer Befragung. Da den vom Bundesverwaltungsgericht ferner aufgeführten Erfordernissen (Gewährung des rechtlichen Gehörs, Begründung des Verzichts auf die Befragung) ebenfalls Rechnung getragen wurde, ist die Vorgehensweise des BFM nicht zu beanstanden. Die Behauptung des Beschwerdeführers in der Rechtsmittelschrift, er habe die Zwischenverfügung der Vorinstanz vom 3. August 2010 erst am 14. Februar 2012 gesehen, ist unglaubhaft, zumal sich dem bei den Akten befindlichen sri-lankischen Rückschein entnehmen lässt, dass die Zwischenverfügung dem Beschwerdeführer schon im Jahre 2010 eröffnet wurde. Es erübrigt sich daher, weiter darauf einzugehen.</w:t>
      </w:r>
    </w:p>
    <w:p>
      <w:r>
        <w:rPr>
          <w:b/>
        </w:rPr>
        <w:t>E. 5</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a.a.O. E. 2c S. 130), mithin die Prüfung der Fragen, ob eine Gefährdung im Sinne von Art. 3 AsylG glaubhaft gemacht wird und ob der Verbleib am Aufenthaltsort für die Dauer der Sachverhaltsabklärung zugemutet werden kann.</w:t>
      </w:r>
    </w:p>
    <w:p>
      <w:r>
        <w:rPr>
          <w:b/>
        </w:rPr>
        <w:t>E. 6.1</w:t>
      </w:r>
    </w:p>
    <w:p>
      <w:r>
        <w:t>Im Folgenden ist zu prüfen, ob das BFM zu Recht eine unmittelbare Gefahr im Sinne von Art. 20 AsylG verneinte und die Einreise des Beschwerdeführers in die Schweiz verweigerte.</w:t>
      </w:r>
    </w:p>
    <w:p>
      <w:r>
        <w:rPr>
          <w:b/>
        </w:rPr>
        <w:t>E. 6.2</w:t>
      </w:r>
    </w:p>
    <w:p>
      <w:r>
        <w:t>Vorab ist auf die aktualisierte, auch heute noch zutreffende Lageanalyse des Bundesverwaltungsgerichts in BVGE 2011/24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BVGE a.a.O. E. 8).</w:t>
      </w:r>
    </w:p>
    <w:p>
      <w:r>
        <w:rPr>
          <w:b/>
        </w:rPr>
        <w:t>E. 6.3.1</w:t>
      </w:r>
    </w:p>
    <w:p>
      <w:r>
        <w:t>Der Beschwerdeführer machte in seinem Asylgesuch vom 4. Juni 2007 sowie in seiner weiteren Eingabe vom 16. August 2007 hauptsächlich geltend, er sei von den sri-lankischen Sicherheitsbehörden im Jahre 1990 für fünfzehn Tage verhaftet worden. Im Jahre 1998 hätten ihn die Behörden zu Unrecht beschuldigt, ihnen keine Informationen über einen Attentäter gegeben zu haben, weshalb sie ihn für zwei Jahre inhaftiert hätten. Aufgrund der während der Inhaftierung erlittenen Misshandlungen habe er körperliche Beschwerden, weshalb er medizinischer Behandlung bedürfe. Am 13. Mai 2006 sei sein (...) von Unbekannten umgebracht worden. In seiner (des Beschwerdeführers) Region wüteten zudem "death squads", wodurch die Zukunft seiner Kinder bedroht sei. Am 18. Juli 2007 seien Leute des CID zu seiner Familie nach Hause gekommen und hätten sie lange befragt. Am 1. August 2007 seien er und seine Frau auf dem Polizeiposten lange verhört worden.</w:t>
      </w:r>
    </w:p>
    <w:p>
      <w:r>
        <w:rPr>
          <w:b/>
        </w:rPr>
        <w:t>E. 6.3.2</w:t>
      </w:r>
    </w:p>
    <w:p>
      <w:r>
        <w:t>Einleitend ist darauf hinzuweisen, dass das schweizerische Asylrecht nicht dem Ausgleich erlittenen Unrechts dient. Insofern vermögen die Inhaftierungen sowie die in diesem Zusammenhang erlittenen psychischen und physischen Beeinträchtigungen, von denen der Beschwerdeführer betroffen war, heute eine Asylgewährung beziehungsweise eine Einreisebewilligung in die Schweiz nicht zu begründen. Im aktuellen Zeitraum können diese Ereignisse mithin nicht mehr als kausal für die beantragte Einreise in die Schweiz und die Asylgewährung angesehen werden, da die Situation im Zeitpunkt des Asylentscheides im Rahmen der Prüfung nach der Aktualität der Verfolgungsfurcht wesentlich ist. Im Weiteren ist vorliegend mit der Vorinstanz festzustellen, dass der Beschwerdeführer mit überwiegender Wahrscheinlichkeit in absehbarer Zukunft keine ernsthaften Nachteile durch Verfolgungsmassnahmen der sri-lankischen Sicherheitskräfte zu befürchten hat. Insgesamt weist der Beschwerdeführer trotz der zwei geltend gemachten Inhaftierungen sowie der Behelligungen durch die sri-lankischen Sicherheitskräfte in den nachfolgenden Jahren kein besonderes Risikoprofil auf, das ihn aktuell aus objektiver Sicht als gefährdet erscheinen liesse. Die Inhaftierungen und die Behelligungen durch die sri-lankischen Sicherheitskräfte sind - vor allem mit Blick auf die damalige Bürgerkriegssituation - vor dem Hintergrund der Bekämpfung der LTTE zu sehen. Seit dem Ende des Bürgerkriegs hat sich die Lage in Sri Lanka allerdings erheblich verbessert. Zwar gehören Personen, die einer Verbindung zu den LTTE verdächtigt werden, gemäss Praxis des Bundesverwaltungsgerichts auch heute potentiell noch zu einer Risikogruppe (vgl. BVGE 2011/24 E. 8.1). Indes ist den Akten kein nennenswerter Bezug des Beschwerdeführers zu den LTTE zu entnehmen. Dass er zudem am 24. April 2000 bedingungslos aus der Haft entlassen wurde und die sri-lankischen Sicherheitskräfte seither offenbar nie versucht haben, ihn zu ergreifen und zu inhaftieren, was ihnen zweifellos ohne weiteres möglich gewesen wäre, weist auf ein mangelndes Verfolgungsinteresse der sri-lankischen Sicherheitskräfte hin. Es ist daher davon auszugehen, dass seitens der sri-lankischen Sicherheitskräfte nichts gegen den Beschwerdeführer vorliegt. Er verfügt folglich über kein besonderes Profil, welches eine Gefährdung im Sinne von Art. 3 AsylG als wahrscheinlich erscheinen lässt. Soweit er in der Rechtsmittelschrift vorbringt, er befürchte, dass die Polizei erneut bei seiner Arbeitsstelle erscheine, sie ihn gegenüber seinem Chef als LTTE-Mitglied verdächtige und er deswegen entlassen werde, so wie das schon mehrmals der Fall gewesen sei, ist festzustellen, dass der Beschwerdeführer diese Vorbringen - trotz Zumutbarkeit - in keiner Weise belegt. Abgesehen davon wären diese Schwierigkeiten als flüchtlingsrechtlich nicht beachtlich zu bezeichnen. Bezüglich des Vorbringens des Beschwerdeführers im vorinstanzlichen Verfahren, in seiner Region wüteten so genannte "death squads", ist festzuhalten, dass sich die Lage in Sri Lanka seit Beendigung des militärischen Konflikts zwischen der sri-lankischen Armee und den LTTE im Mai 2009 erheblich verbessert hat. Der Einfluss von militanten Gruppierungen hat seit dem Ende des Bürgerkriegs stark abgenommen. Zudem macht der Beschwerdeführer in der Beschwerde nicht mehr geltend, von "death squads" oder anderen Dritten bedroht zu sein. Schliesslich ist darauf hinzuweisen, dass auch die vom Beschwerdeführer vorgebrachten gesundheitlichen Beschwerden und die geltend gemachten schwierigen Lebensbedingungen in Sri Lanka gemäss ständiger Praxis keinen Grund für eine Einreisebewilligung darstellen.</w:t>
      </w:r>
    </w:p>
    <w:p>
      <w:r>
        <w:rPr>
          <w:b/>
        </w:rPr>
        <w:t>E. 7</w:t>
      </w:r>
    </w:p>
    <w:p>
      <w:r>
        <w:t>Zusammenfassend ist festzustellen, dass der Beschwerdeführer nicht schutzbedürftig im Sinne von Art. 3 AsylG ist. Aufgrund der vorstehenden Erwägungen erübrigt es sich, auf die weiteren Ausführungen in den Eingaben und die eingereichten Beweismittel einzugehen, da sie am Ergebnis nichts zu ändern vermögen. Das BFM hat demnach zu Recht die Einreise in die Schweiz nicht bewilligt und das (zweite)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von Fr. 600.--grundsätzlich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