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D-108/2025 vom 24. Februar 2025</w:t>
      </w:r>
    </w:p>
    <w:p>
      <w:r>
        <w:t>Bundesverwaltungsgericht, 2025-02-24, DE</w:t>
      </w:r>
    </w:p>
    <w:p>
      <w:r>
        <w:rPr>
          <w:b/>
        </w:rPr>
        <w:t xml:space="preserve">Quelle: </w:t>
      </w:r>
      <w:r>
        <w:t>https://mcp.opencaselaw.ch/entscheid/bvger_D-108_2025</w:t>
      </w:r>
    </w:p>
    <w:p>
      <w:r>
        <w:t>FR: TAF D-108/2025 du 24 février 2025</w:t>
      </w:r>
    </w:p>
    <w:p>
      <w:r>
        <w:t>IT: TAF D-108/2025 del 24 febbraio 2025</w:t>
      </w:r>
    </w:p>
    <w:p>
      <w:pPr>
        <w:pStyle w:val="Heading2"/>
      </w:pPr>
      <w:r>
        <w:t>Regeste</w:t>
      </w:r>
    </w:p>
    <w:p>
      <w:r>
        <w:t>Asyl und Wegweisung</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liegt nicht vor, weshalb das Bundesverwaltungsgericht endgültig entscheidet.</w:t>
      </w:r>
    </w:p>
    <w:p>
      <w:r>
        <w:t>D-108/2025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Sodann ging der verlangte Kostenvorschuss am 12. Februar 2025 fristgerecht bei der Ge- richtskasse ein.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 Zu- kunft begründeter Weise zu befürchten sind oder zugefügt zu werden dro- hen (vgl. BVGE 2011/51 E. 6.1 m.w.H.). Dabei genügt es nicht, dass diese Furcht lediglich mit Vorkommnissen oder Umständen, die sich früher oder später möglicherweise ereignen könnten, begründet wird. Es müssen</w:t>
      </w:r>
    </w:p>
    <w:p>
      <w:r>
        <w:t>D-108/2025 Seite 6 hinreichende Anhaltspunkte für eine konkrete Bedrohung vorhanden sein, die bei jedem Menschen in vergleichbarer Lage Furcht vor Verfolgung und den Entschluss zur Flucht hervorrufen würden (vgl. BVGE 2010/9 E. 5.2; Entscheidungen und Mitteilungen der Schweizerischen Asylrekurskommis- sion [EMARK] 2004 Nr. 1 E. 6.a und 2005 Nr. 21 E. 7.1).</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 ablehnende Verfügung im Kern damit, dass das gegen den Beschwerdeführer eröffnete Untersuchungsverfahren wegen Beleidigung des Präsidenten und Propaganda für eine Terrororga- nisation sowie der Haftbefehl nicht geeignet seien, die Flüchtlingseigen- schaft zu begründen. Einerseits würden die eingereichten Dokumente ab- gesehen von der Nennung der Delikte keinen materiellen Inhalt aufweisen, sondern bestünden aus standardisierten Bausteinen, welche keine Rück- schlüsse auf die ihm konkret vorgeworfenen Vergehen gäben. Anderseits wiesen die Dokumente keine überprüfbaren Sicherheitsmerkmale auf und hätten aufgrund der einfachen Fälschbarkeit lediglich einen geringen Be- weiswert. Es sei bekannt, dass Dokumente in der Türkei problemlos durch professionelle Fälscher oder korrupte Beamte gegen Entgelt beschafft wer- den könnten. Zur Korrumpierbarkeit türkischer Beamten sowie ihrer Mithilfe zur Produktion von Beweismitteln gebe es türkische Medienberichte; in die- sen Fernsehbeiträgen würden Listen mit Angeboten von Produzenten sol- cher Dokumente gezeigt. In eine dieser Liste etwa werde vermerkt, dass die Zugangscodes zum UYAP (Ulusal Yargi A i Bili im Sistemi [türkisches Justiz-Informationssystem] der beworbenen Dokumente funktionierten; eine andere Liste führe die Überschrift «Wir bereiten Asyldossiers vor» und biete Justizdokumente mit Stempel und Unterschrift an. Somit sei es evi- dent, dass auch sogenannt echte Dokumente leicht erwerbbar seien. Die Frage nach der Echtheit der eingereichten Verfahrensdokumente könne vorliegend jedoch offengelassen werden, zumal den Akten zufolge nur ein Ermittlungs- respektive Untersuchungsverfahren eingeleitet worden sei. Solche würden zwar in teils hoher Zahl eingeleitet, häufig jedoch wieder eingestellt. Somit sei es ungewiss, ob die Untersuchungen tatsächlich zu</w:t>
      </w:r>
    </w:p>
    <w:p>
      <w:r>
        <w:t>D-108/2025 Seite 7 einem Gerichtsverfahren führen würden. Beim vermeintlichen Haftbefehl handle es sich um einen Vorführbefehl, dessen Zweck lediglich seiner Ein- vernahme diene und eine anschliessende Freilassung vorsehe. Auch unter Berücksichtigung der Menschenrechtslage in der Türkei sei nicht mit einem systematischen Risiko von Misshandlungen oder Folter in seinem Fall aus- zugehen. Schliesslich sei nicht gänzlich auszuschliessen, dass mindestens ein Beitrag auf Facebook ehrverletzend oder gewaltverherrlichend sein respektive eine legitime Strafverfolgung darstellen könne, dabei handle es sich um Straftatbestände, welche auch in der Schweiz strafrechtlich ver- folgt würden. Da seine Vorbringen den Anforderungen an Art. 3 AsylG nicht standhalten würden, könne auf die Prüfung von Unglaubhaftigkeitselemen- ten verzichtet werden.</w:t>
      </w:r>
    </w:p>
    <w:p>
      <w:r>
        <w:rPr>
          <w:b/>
        </w:rPr>
        <w:t>E. 5.2</w:t>
      </w:r>
    </w:p>
    <w:p>
      <w:r>
        <w:t>Der Beschwerdeführer stellte sich in seiner Beschwerde auf den Stand- punkt, dass er in flüchtlingsrechtlich relevanter Weise verfolgt werde. Die Polizei suche stetig nach ihm und übe ständigen Druck auf seine Familie aus, deshalb sei es selbstredend, dass er in Gefahr sei. Das politische En- gagement seines Vaters verschärfe zudem sein persönliches Gefähr- dungsprofil. Er habe keinen Zugriff auf sein UYAP-Portal. Die eingereichten Dokumente habe sein Rechtsanwalt in der Türkei direkt durch das Gericht erhalten. Sein Anwalt befürchte, dass er, der Beschwerdeführer, aufgrund des Vorwurfs des Terrorismus und der vormaligen Unterstützung der PKK durch seinen Vater bei einer Rückkehr in die Türkei auf unbestimmte Zeit inhaftiert würde sowie dem Risiko der Folter und Misshandlung ausgesetzt wäre. Die Behauptung der Vorinstanz, dass die eingereichten Gerichtsdo- kumente gefälscht seien, weise er entschieden zurück. Er besitze Führer- scheine und Fahrausweise, die ihm erlaubten in Europa zu arbeiten; dafür habe er es nicht nötig, Dokumente zu fälschen. Ferner habe er mit dem Teilen der Beiträge weder Gewalt verherrlichen, noch jemanden beleidigen wollen, vielmehr kritisiere und verabscheue er Gewalt. Er habe in der An- hörung lediglich die Wahrheit gesagt und nur echte Dokumente einge- reicht.</w:t>
      </w:r>
    </w:p>
    <w:p>
      <w:r>
        <w:rPr>
          <w:b/>
        </w:rPr>
        <w:t>E. 6.1</w:t>
      </w:r>
    </w:p>
    <w:p>
      <w:r>
        <w:t>Das Gericht kommt im Einklang mit der Vorinstanz zum Schluss, dass die beiden gegen den Beschwerdeführer eingeleiteten strafrechtlichen Er- mittlungsverfahren den Anforderungen im Sinne von Art. 3 AsylG nicht ge- nügen. Hierzu ist auf die überzeugenden Argumente der vorinstanzlichen Verfügung – insbesondere auf diejenigen zum mangelnden Beweiswert der eingereichten Gerichtsunterlagen – zu verweisen (vgl. SEM-Akte A24/11 S. 4-6). Ergänzend ist im Zusammenhang mit den Ermittlungsverfahren</w:t>
      </w:r>
    </w:p>
    <w:p>
      <w:r>
        <w:t>D-108/2025 Seite 8 wegen des möglichen Straftatbestands der Präsidentenbeleidigung und Propaganda für eine Terrororganisation auf das kürzlich in diesem Zusam- menhang ergangene Referenzurteil zu verweisen, wonach staatsanwaltli- che Ermittlungsverfahren (erst) dann flüchtlingsrechtliche Relevanz auf- weisen können, wenn es tatsächlich zu einer rechtskräftigen Verurteilung inklusive der Ausschöpfung aller innerstaatlicher Instanzen gekommen ist. Bei dieser Ausgangslage wäre ohnehin weiter zu prüfen, ob eine solche Verurteilung aus flüchtlingsrechtlich relevanten Motiven im Sinne von Art. 3 Abs. 1 AsylG – meist aufgrund politischer Anschauungen in sozialen Me- dien – erfolgt ist oder ob die Verurteilung einen rechtstaatlich legitimen Zweck verfolgt und somit nicht zur Anerkennung der Flüchtlingseigenschaft führen würde. Wie die Vorinstanz bereits richtigerweise festgehalten hat, ist es zum aktuellen Zeitpunkt offen, ob es nach dem Ermittlungsverfahren überhaupt zu einer Anklage und einer anschliessenden Verurteilung kommt. Auch im Falle einer Verurteilung ist die Aussicht äusserst gering, dass er als bisher unbescholtene Person respektive als Ersttäter ohne ge- schärftes politisches Profil (er ist zuvor nie polizeilich in Erscheinung getre- ten und hat auch keine Probleme aufgrund der Vergangenheit seines Va- ters erlebt) eine Strafe zu erwarten hätte (vgl. SEM-Akte A14/19 F116-122). In der Regel sind bei Ersttäterinnen und Ersttätern keine Strafen zu erwar- ten, zumal in der Praxis die türkische Strafjustiz die Strafrahmen für Delikte nach Art. 229 des türkischen Strafgesetzes (Delikt: Beleidigung des Präsi- denten) und Art. 7 Abs. 2 des Antiterrorgesetzes in der Regel (Delikt: Pro- paganda für einer terroristische Organisation) nicht ausgeschöpft und all- fällige Freiheitsstrafen grösstenteils bedingt ausspricht (vgl. das Referenz- urteil E-4103/2024 vom 8. November 2024 E. 8.2 und E. 8.7.1 m.w.H.). Schliesslich kann es angesichts des Gesagten offenbleiben, ob die von ihm eingereichten Ermittlungsunterlagen echt oder gefälscht sind, zumal sich seine Fluchtgründe auch bei Wahrunterstellung flüchtlingsrechtlich als nicht relevant erweisen.</w:t>
      </w:r>
    </w:p>
    <w:p>
      <w:r>
        <w:rPr>
          <w:b/>
        </w:rPr>
        <w:t>E. 6.2</w:t>
      </w:r>
    </w:p>
    <w:p>
      <w:r>
        <w:t>Das Bundesverwaltungsgericht kommt zusammenfassend zum Schluss, dass der Beschwerdeführer die Flüchtlingseigenschaft nicht er- füllt. Die Vorinstanz hat sein Asylgesuch zu Recht abgelehnt.</w:t>
      </w:r>
    </w:p>
    <w:p>
      <w:r>
        <w:t>D-108/2025 Seite 9</w:t>
      </w:r>
    </w:p>
    <w:p>
      <w:r>
        <w:rPr>
          <w:b/>
        </w:rPr>
        <w:t>E. 7.1</w:t>
      </w:r>
    </w:p>
    <w:p>
      <w:r>
        <w:t>Lehnt das SEM das Asylgesuch ab oder tritt es darauf nicht ein, so verfügt es in der Regel die Wegweisung aus der Schweiz und ordnet den Vollzug an; es berücksichtigt dabei den Grundsatz der Einheit der Familie (Art.44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t>D-108/2025 Seite 10</w:t>
      </w:r>
    </w:p>
    <w:p>
      <w:r>
        <w:rPr>
          <w:b/>
        </w:rPr>
        <w:t>E. 8.3.4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8.3.5</w:t>
      </w:r>
    </w:p>
    <w:p>
      <w:r>
        <w:t>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sowie jener des UN-Anti-Folterausschusses müsste der Be- schwerdeführer eine konkrete Gefahr im Sinne eines «real risk» nachwei- sen oder glaubhaft machen, dass ihm im Fall einer Rückschiebung Folter oder unmenschliche Behandlung drohen würde (vgl. Urteil des EGMR Saadi gegen Italien 28. Februar 2008, Grosse Kammer, 37201/06, §§ 124– 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Auch unter Berücksichtigung des Wiederaufflammens des türkisch- kurdischen Konfliktes sowie der bewaffneten Auseinandersetzungen zwi- schen der PKK und staatlichen Sicherheitskräften seit Juli 2015 in den Pro- vinzen Batman, Diyarbakir, Mardin, Siirt, Urfa und Van sowie auch in den Provinzen Hakkari und Sirnak (zu den Letzteren vgl. das Referenzurteil des BVGer E-4103/2024 vom 8. November 2024 E. 13.4.8) und der Entwick- lungen nach dem Militärputschversuch im Juli 2016 ist gemäss konstanter Praxis nicht von einer Situation allgemeiner Gewalt oder bürgerkriegsähn- lichen Verhältnissen in der Türkei – auch nicht für Angehörige der</w:t>
      </w:r>
    </w:p>
    <w:p>
      <w:r>
        <w:t>D-108/2025 Seite 11 kurdischen Ethnie – auszugehen (vgl. statt vieler: Urteile des BVGer D-3140/2023 vom 28. September 2023 E. 8.3.1; E-2377/2018 vom 27. Au- gust 2019 E. 8.4.1; D-8410/2015 vom 27. Juni 2019 E. 7.4).</w:t>
      </w:r>
    </w:p>
    <w:p>
      <w:r>
        <w:rPr>
          <w:b/>
        </w:rPr>
        <w:t>E. 8.4.3</w:t>
      </w:r>
    </w:p>
    <w:p>
      <w:r>
        <w:t>Der junge und gesunde Beschwerdeführer verfügt über eine achtjäh- rige Schulbildung und über mehrjährige Arbeitserfahrungen als (…) und als (…) im (…) seines Vaters. Als (…) habe er gut verdient. Zudem lebten seine Eltern und (…) Geschwister in C._______. Seine Onkel und eine Tante leb- ten ebenfalls in der Türkei (vgl. SEM-Akte A14/19 F32, F36, F39, F49-56). Vor diesem Hintergrund wird es ihm möglich sein, sich mithilfe seiner Fa- milienangehörigen in der Türkei zu reintegrieren und seine Arbeit als (…) des (…) seines Vaters wieder aufzunehmen. Die Wohnsituation ist eben- falls geregelt und er wird erneut bei seinen Eltern wohnen können, wo er bereits vor seiner Ausreise gelebt hat (vgl. SEM-Akte A14/19 F55-56). Auch aus medizinischer Sicht spricht nichts gegen einen Vollzug der Weg- weisung. Angesichts seiner individuellen Situation erscheint es somit un- wahrscheinlich, dass er bei seiner Rückkehr in eine existenzbedrohende Lage geraten würde.</w:t>
      </w:r>
    </w:p>
    <w:p>
      <w:r>
        <w:rPr>
          <w:b/>
        </w:rPr>
        <w:t>E. 8.4.4</w:t>
      </w:r>
    </w:p>
    <w:p>
      <w:r>
        <w:t>Nach dem Gesagten ist der Vollzug der Wegweisung auch zumutbar.</w:t>
      </w:r>
    </w:p>
    <w:p>
      <w:r>
        <w:rPr>
          <w:b/>
        </w:rPr>
        <w:t>E. 8.5</w:t>
      </w:r>
    </w:p>
    <w:p>
      <w:r>
        <w:t>Schliesslich obliegt es dem Beschwerdeführer, sich allenfalls bei der zuständigen Vertretung des Heimatstaates die für eine Rückkehr notwen- 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der rechtserhebliche Sachverhalt richtig sowie vollständig feststellt (Art. 106 Abs. 1 AsylG; Art. 49 VwVG) und – soweit überprüfbar – angemessen ist. Die Beschwerde ist abzuweisen.</w:t>
      </w:r>
    </w:p>
    <w:p>
      <w:r>
        <w:t>D-108/2025 Seite 12</w:t>
      </w:r>
    </w:p>
    <w:p>
      <w:r>
        <w:rPr>
          <w:b/>
        </w:rPr>
        <w:t>E. 10</w:t>
      </w:r>
    </w:p>
    <w:p>
      <w:r>
        <w:t>Bei diesem Ausgang des Verfahrens sind die Kosten von Fr. 750.– dem Beschwerdeführer aufzuerlegen (Art. 1–3 des Reglements vom 21. Feb- ruar 2008 über die Kosten und Entschädigungen vor dem Bundesverwal- tungsgericht [VGKE; SR 173.320.2]; Art. 63 Abs. 1 VwVG). Der am</w:t>
      </w:r>
    </w:p>
    <w:p>
      <w:r>
        <w:rPr>
          <w:b/>
        </w:rPr>
        <w:t>E. 12</w:t>
      </w:r>
    </w:p>
    <w:p>
      <w:r>
        <w:t>Februar 2025 in gleicher Höhe geleistete Kostenvorschuss wird zur Be- zahlung der Verfahrenskosten verwendet. (Dispositiv nächste Seite)</w:t>
      </w:r>
    </w:p>
    <w:p>
      <w:r>
        <w:t>D-108/2025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