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D-1085/2024 vom 25. März 2024</w:t>
      </w:r>
    </w:p>
    <w:p>
      <w:r>
        <w:t>Bundesverwaltungsgericht, 2024-03-25, DE</w:t>
      </w:r>
    </w:p>
    <w:p>
      <w:r>
        <w:rPr>
          <w:b/>
        </w:rPr>
        <w:t xml:space="preserve">Quelle: </w:t>
      </w:r>
      <w:r>
        <w:t>https://mcp.opencaselaw.ch/entscheid/bvger_D-1085_2024</w:t>
      </w:r>
    </w:p>
    <w:p>
      <w:r>
        <w:t>FR: TAF D-1085/2024 du 25 mars 2024</w:t>
      </w:r>
    </w:p>
    <w:p>
      <w:r>
        <w:t>IT: TAF D-1085/2024 del 25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w:t>
      </w:r>
    </w:p>
    <w:p>
      <w:r>
        <w:t>D-1085/2024 Seite 4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um eine solche handelt, ist das Urteil nur summarisch zu begründen (Art. 111a Abs. 2 AsylG). Gestützt auf Art. 111a Abs. 1 AsylG wurde auf die Durchfüh- rung eines Schriftenwechsels verzichtet.</w:t>
      </w:r>
    </w:p>
    <w:p>
      <w:r>
        <w:rPr>
          <w:b/>
        </w:rPr>
        <w:t>E. 3.5</w:t>
      </w:r>
    </w:p>
    <w:p>
      <w:r>
        <w:t>S. 142 f.; Urteile des BVGer D-2453/2014 vom 12. August 2015 E. 7.3.2.4; E-5563/2018 vom 30. Okto- ber 2018 E. 8.3; D-4535/2019 vom 26. August 2020 E. 10.3).</w:t>
      </w:r>
    </w:p>
    <w:p>
      <w:r>
        <w:t>D-1085/2024 Seite 9</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D-1085/2024 Seite 5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damit, dass der Beschwerdeführer sein Heimatland aufgrund eines Stellenangebotes verlassen, anschliessend in mehreren europäischen Staaten illegal als (…) gearbeitet und erklärt habe, in der Türkei keiner Verfolgung ausgesetzt ge- wesen zu sein. Seine Vorbringen würden dementsprechend keine Asylre- levanz aufweisen. Die allgemeine Menschenrechtslage – auch nach der Niederschlagung des Militärputschversuches vom 15. respektive 16. Juli 2016 – lasse den Vollzug der Wegweisung nicht als unzulässig erscheinen.</w:t>
      </w:r>
    </w:p>
    <w:p>
      <w:r>
        <w:rPr>
          <w:b/>
        </w:rPr>
        <w:t>E. 5.2</w:t>
      </w:r>
    </w:p>
    <w:p>
      <w:r>
        <w:t>Der Beschwerdeführer entgegnete, dass er aus der Türkei ausgereist sei, weil er sich im Ausland ein besseres Leben erhoffe. Nachdem er ein Stellenangebot als (…) in Belgien erhalten habe, sei er ausgereist. Nach ungefähr eineinhalb Jahren sei er von der Person, die ihm die Stelle ver- mittelt habe, verraten worden und er habe Belgien verlassen müssen. Er sei ein sehr motivierter junger Mann mit guten Deutschkenntnissen und beherrsche auch die flämische und holländische Sprache. In der Schweiz habe er sich bereits gut integriert und habe per (…) 2024 eine unbefristete Arbeit als Aushilfe in einer (…) gefunden. In seinem Heimatland habe er keine Zukunft, da er lediglich den Minimallohn erhalte. Seine Familie und er hätten davon nur knapp überleben können; er wünsche sich für sich und seine Familie ein besseres Leben und eine sichere Zukunft.</w:t>
      </w:r>
    </w:p>
    <w:p>
      <w:r>
        <w:rPr>
          <w:b/>
        </w:rPr>
        <w:t>E. 6.1</w:t>
      </w:r>
    </w:p>
    <w:p>
      <w:r>
        <w:t>Auch wenn die Integrationsbemühungen des Beschwerdeführers (seine Deutschkenntnisse und seine erfolgreiche Stellensuche sowie sein Bedürfnis nach der finanziellen Unabhängigkeit) bemerkenswert sind, wei- sen sie offensichtlich keine Asylrelevanz auf. Das Gericht kommt in Über- einstimmung mit der Vorinstanz zum Schluss, dass es seinen geltend ge- machten Wünschen nach einem besseren Leben und einer sicheren Zu- kunft an Asylrelevanz fehlt. Auch der vorgebrachte Umstand, dass er in der Türkei für seine Arbeit lediglich eine Minimalbezahlung erhält, erweist sich als flüchtlingsrechtlich nicht relevant. Seinen Ausführungen ist schliesslich zu entnehmen, dass er nie polizeilich in Erscheinung getreten ist, sich nicht politisch engagiert und auch keine Nachteile aufgrund seiner kurdischen Ethnie erfahren hat, und somit auch keine Verfolgung geltend macht.</w:t>
      </w:r>
    </w:p>
    <w:p>
      <w:r>
        <w:t>D-1085/2024 Seite 6</w:t>
      </w:r>
    </w:p>
    <w:p>
      <w:r>
        <w:rPr>
          <w:b/>
        </w:rPr>
        <w:t>E. 6.2</w:t>
      </w:r>
    </w:p>
    <w:p>
      <w:r>
        <w:t>Zusammenfassend kommt das Gericht zum Schluss, dass es dem Be- schwerdeführer nicht gelungen ist darzulegen, in seinem Heimatland in asylrechtlich relevanter Weise verfolgt worden zu sein oder befürchten zu müssen, in naher Zukunft einer solchen Verfolgung ausgesetzt zu werden.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D-1085/2024 Seite 7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der Be- schwerdeführer keine asylrechtlich erhebliche Gefährdung vorgebracht hat, kann der in Art. 5 AsylG verankerte Grundsatz der Nichtrückschiebung im vorliegenden Verfahren keine Anwendung finden. Eine Rückkehr des Beschwerdeführers in seinen Heimatstaat Türkei ist demnach unter dem Aspekt von Art. 5 AsylG rechtmässig.</w:t>
      </w:r>
    </w:p>
    <w:p>
      <w:r>
        <w:t>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w:t>
      </w:r>
    </w:p>
    <w:p>
      <w:r>
        <w:t>D-1085/2024 Seite 8 verschiedenen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E-4607/2021 vom 12. Januar 2022 E. 9.3.1 m.w.H. sowie das Referenzur- teil E-1948/2018 vom 12. Juni 2018 E. 7.3.1). Hierzu ist zudem vollumfäng- lich auf die vorinstanzliche Verfügung zu verweisen (vgl. SEM-Akte A15/6 S. 4)</w:t>
      </w:r>
    </w:p>
    <w:p>
      <w:r>
        <w:rPr>
          <w:b/>
        </w:rPr>
        <w:t>E. 8.4.1</w:t>
      </w:r>
    </w:p>
    <w:p>
      <w:r>
        <w:t>Schliesslich liegen keine individuellen Gründe vor, die gegen einen Wegweisungsvollzug sprechen würden. Der Beschwerdeführer verfügt über einen (…) und mehrjährige – zum Teil im Ausland erworbene – Be- rufserfahrung als (…). Bei seiner Rückkehr wird es ihm möglich sein, sei- nen zuvor ausgeübten Beruf erneut aufzunehmen. Er ist in C._______ in der Provinz Yalova aufgewachsen und kann dort auf ein breites soziales und familiäres Netzwerk zurückgreifen, welches ihm bei Bedarf zu Seite stehen kann. Auch ist die Provinz Yalova nicht vom schweren Erdbeben betroffen, welches sich im Februar 2023 ereignete. Auch wenn er und seine Familie mit seinem Minimallohn nur knapp hätten leben können (vgl. SEM- Akte A12/9 F28, F39 und Beschwerde Punkt 4), werden seine arbeitstäti- gen Geschwister ihn im Bedarfsfall finanziell unterstützend zur Seite ste- hen können (vgl. SEM Akte A12/9 F24), zumal vier seiner fünf Geschwister ebenfalls einer Erwerbstätigkeit nachgehen. Sodann ist auch seine Wohn- situation gesichert, zumal er bis zu seiner Ausreise 2019 mit seinen Eltern in deren eigenem Haus gelebt hat und dorthin zurückkehren kann. Eben- falls lässt sein gesundheitlicher Zustand einen Wegweisungsvollzug nicht als unzumutbar erscheinen; den Akten ist nicht zu entnehmen, dass er an gesundheitlichen Problemen leiden würde. Bezüglich seiner fortgeschritte- nen Integration respektive seine Integrationsbemühungen ist festzuhalten, dass der Grad der Integration als solcher grundsätzlich nicht ein Kriterium für die Beurteilung der Zumutbarkeit des Wegweisungsvollzugs im Sinne von Art. 83 Abs. 4 AIG darstellt (vgl. BVGE 2009/52 E. 10.3 am Ende; EMARK 2006 Nr.</w:t>
      </w:r>
    </w:p>
    <w:p>
      <w:r>
        <w:rPr>
          <w:b/>
        </w:rPr>
        <w:t>E. 8.4.2</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Die Beschwerde ist angesichts der vorstehenden Erwägungen als aussichtslos zu qualifizieren. Die Gesuche um Gewährung der unentgeltli- chen Prozessführung und um amtliche Rechtsverbeiständung im Sinne von Art. 65 Abs. 1 und Abs. 2 VwVG sind deshalb ungeachtet der geltend gemachten – jedoch nicht belegten – prozessualen Bedürftigkeit abzuwei- sen. Der Antrag auf den Verzicht der Erhebung eines Kostenvorschusses wird mit dem vorliegenden Urteil gegenstandslos. 10.2 Bei diesem Ausgang des Verfahrens sind die Kosten von Fr. 750.– dem Beschwerdeführer aufzuerlegen (Art. 1–3 des Reglements vom 21. Februar 2008 über die Kosten und Entschädigungen vor dem Bundes- verwaltungsgericht [VGKE, SR 173.320.2]; Art. 63 Abs. 1 VwVG).</w:t>
      </w:r>
    </w:p>
    <w:p>
      <w:r>
        <w:t>(Dispositiv nächste Seite)</w:t>
      </w:r>
    </w:p>
    <w:p>
      <w:r>
        <w:t>D-1085/2024 Seite 10</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 ist angesichts der vorstehenden Erwägungen als aussichtslos zu qualifizieren. Die Gesuche um Gewährung der unentgeltlichen Prozessführung und um amtliche Rechtsverbeiständung im Sinne von Art. 65 Abs. 1 und Abs. 2 VwVG sind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von Fr. 750.- dem Beschwerdeführer aufzuerlegen (Art. 1-3 des Reglements vom 21. Februar 2008 über die Kosten und Entschädigungen vor dem Bundesverwaltungsgericht [VGKE, SR 173.320.2]; Art. 63 Abs. 1 VwVG). (Dispositiv nächste Seite)</w:t>
      </w:r>
    </w:p>
    <w:p>
      <w:r>
        <w:rPr>
          <w:b/>
        </w:rPr>
        <w:t>E. 13</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