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D-1083/2010 vom 22. März 2010</w:t>
      </w:r>
    </w:p>
    <w:p>
      <w:r>
        <w:t>Bundesverwaltungsgericht, 2010-03-22, DE</w:t>
      </w:r>
    </w:p>
    <w:p>
      <w:r>
        <w:rPr>
          <w:b/>
        </w:rPr>
        <w:t xml:space="preserve">Quelle: </w:t>
      </w:r>
      <w:r>
        <w:t>https://mcp.opencaselaw.ch/entscheid/bvger_D-1083_2010</w:t>
      </w:r>
    </w:p>
    <w:p>
      <w:r>
        <w:t>FR: TAF D-1083/2010 du 22 mars 2010</w:t>
      </w:r>
    </w:p>
    <w:p>
      <w:r>
        <w:t>IT: TAF D-1083/2010 del 22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5.1</w:t>
      </w:r>
    </w:p>
    <w:p>
      <w:r>
        <w:t>In Übereinstimmung mit der Vorinstanz und dem bereits ergangenen Urteil des Bundesverwaltungsgerichts (...) ist vorab festzustellen, dass es dem Beschwerdeführer im Rahmen seines ersten, rechtskräftig abgeschlossenen Asylverfahrens nicht gelungen ist, die damals geltend gemachte politisch motivierte Verfolgung im Heimatland glaubhaft zu machen, weshalb auch nicht davon auszugehen ist, dass er vor seiner Ausreise aus dem Iran im Visier der heimatlichen Behörden stand oder gar als Regimegegner und politischer Aktivist registriert war. Der Beschwerdeführer geht in seiner Eingabe vom 22. Februar 2010 dann auch nicht explizit auf die im ersten Asylverfahren geltend gemachten Vorbringen ein, sondern weist klar darauf hin, dass das zweite Asylgesuch vom 3. November 2009 (einzig) aufgrund subjektiver Nachfluchtgründe gestellt worden sei (vgl. Beschwerdeeingabe vom 22. Februar 2010, II. Sachverhalt, Ziff. 2., S. 4). Inwieweit er jedoch eine Verfolgung bereits vor seiner Ausreise aus dem Iran geltend macht, ist er damit nicht zu hören. Im Folgenden ist somit einzig zu prüfen, ob der Beschwerdeführer durch sein Verhalten nach der Ausreise aus dem Heimatland, namentlich wegen seines Engagements in der Schweiz, Grund für eine zukünftige Verfolgung durch die iranischen Behörden gesetzt hat und aus diesem Grund (das heisst infolge Vorliegens subjektiver Nachfluchtgründe) die Flüchtlingseigenschaft erfüllt. Soweit der Beschwerdeführer die Gewährung von Asyl beantragt, ist dieser Antrag abzuweisen.</w:t>
      </w:r>
    </w:p>
    <w:p>
      <w:r>
        <w:rPr>
          <w:b/>
        </w:rPr>
        <w:t>E. 5.2</w:t>
      </w:r>
    </w:p>
    <w:p>
      <w:r>
        <w:t>Vorerst ist festzuhalten, dass von der Vorinstanz nicht bestritten wird, dass sich der Beschwerdeführer in der Schweiz exilpolitisch betätigt hat. Zur Begründung ihres ablehnenden Entscheides vom 20. Januar 2010 führte die Vorinstanz jedoch im Wesentlichen aus, dass die Aktivitäten des Beschwerdeführers wie die regelmässige Teilnahme an Kundgebungen sowie die Verteilung von Flugblättern oder Publikationen im Internet keine konkrete Gefährdung im Falle einer Rückkehr in den Iran zu begründen vermöchten. Sein Verhalten in der Schweiz sei insgesamt betrachtet nicht geeignet, ein ernsthaftes Vorgehen der iranischen Behörden zu bewirken, zumal keine Anhaltspunkte für die Annahme bestünden, im Iran wären gegen ihn aufgrund der geltend gemachten Aktivitäten behördliche Massnahmen eingeleitet worden. Es sei deshalb davon auszugehen, dass der Beschwerdeführer über kein derartiges Profil verfügt, welches ihn bei der Rückkehr in den Iran einer konkreten Gefährdung aussetzen würde. Zusammenfassend sei festzuhalten, dass die geltend gemachten subjektiven Nachfluchtgründe den Anforderungen an die Flüchtlingseigenschaft gemäss Art. 3 AsylG nicht standhielten, weshalb der Beschwerdeführer nicht als Flüchtling anerkannt werden könne. Demnach sei sein Asylgesuch abzulehnen.</w:t>
      </w:r>
    </w:p>
    <w:p>
      <w:r>
        <w:rPr>
          <w:b/>
        </w:rPr>
        <w:t>E. 5.3</w:t>
      </w:r>
    </w:p>
    <w:p>
      <w:r>
        <w:t>In der Beschwerde vom 22. Februar 2010 wird im Wesentlichen geltend gemacht, der Beschwerdeführer übe in der DVF eine höhere Position aus. Er sei auf seinem Niveau ein aktives Mitglied und seine Tätigkeiten seien nicht untergeordnet. Beim Beschwerdeführer sei besonders zu beachten, dass er mit (...) in Kontakt stehe. Dieser sei den iranischen Behörden hinreichend für seine exilpolitischen Aktivitäten bekannt. Es könne mit überwiegender Wahrscheinlichkeit davon ausgegangen werden, dass die iranischen Behörden Kenntnis von der Mitgliedschaft sowie den exilpolitischen Aktivitäten des Beschwerdeführers hätten. Sein Verhalten sei geeignet, ein ernsthaftes Handeln der iranischen Behörden zu erwirken, wobei davon ausgegangen werden müsse, dass gegen ihn im Iran bereits behördliche Massnahmen eingeleitet worden seien. Die subjektiven Nachfluchtgründe sowie die Flüchtlingseigenschaft nach Art. 3 AsylG seien gegeben und der Beschwerdeführer als Flüchtling anzuerkennen. Die Vorinstanz gehe von einem falschen Flüchtlingsbergriff aus und verletze damit Bundesrecht. Seine einzelnen exilpolitischen Vorbringen untermauerte der Beschwerdeführer jeweils mit den bereits unter Sachverhalt Bst. K (vorstehend) eingereichten und aufgezählten Beweismittel.</w:t>
      </w:r>
    </w:p>
    <w:p>
      <w:r>
        <w:rPr>
          <w:b/>
        </w:rPr>
        <w:t>E. 5.4</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beispielsweise BVGE 2009/28 E. 7.4.3 sowie Urteil des Bundesverwaltungsgerichts D-4076/2007 vom 24. September 2009 E. 5.2).</w:t>
      </w:r>
    </w:p>
    <w:p>
      <w:r>
        <w:rPr>
          <w:b/>
        </w:rPr>
        <w:t>E. 5.5</w:t>
      </w:r>
    </w:p>
    <w:p>
      <w:r>
        <w:t>Es ist festzuhalten, dass keine Hinweise aktenkundig sind, wonach der Beschwerdeführer in der Schweiz in einer hohen und in der Öffentlichkeit exponierten Kaderstelle einer Exilorganisation tätig (gewesen) wäre. Seine Aktivitäten für die DVF vermögen kein derartiges politisches Profil zu entwickeln, dass die iranischen Behörden in ihm einen ernsthaften und in seinem Wirkungsgrad gefährlichen Regimegegner identifizieren könnten. Sein exilpolitisches Betätigungsfeld ist nicht geeignet, ein asylrelevantes staatliches Verfolgungsinteresse im Iran zu begründen. An dieser Einschätzung vermag auch sein Kontakt zu (...) nichts zu ändern, da der Beschwerdeführer nicht darlegen kann beziehungsweise es unterlässt zu erklären, warum dieser den iranischen Behörden betreffend seiner exilpolitischen Aktivitäten bekannt sein soll.</w:t>
      </w:r>
    </w:p>
    <w:p>
      <w:r>
        <w:rPr>
          <w:b/>
        </w:rPr>
        <w:t>E. 5.6</w:t>
      </w:r>
    </w:p>
    <w:p>
      <w:r>
        <w:t>Angesichts der aufgezeigten Sachlage erübrigt es sich, auf die weiteren Ausführungen in der Beschwerde und die eingereichten Beweismittel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 Die Vorinstanz hat demnach das zweite Asylgesuch des Beschwerdeführers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Das Bundesverwaltungsgericht hat bereits im Urteil (...) die Zulässigkeit, Zumutbarkeit und Möglichkeit des Vollzugs der Wegweisung des Beschwerdeführers in den Iran bejaht und an dieser Einschätzung hat sich in der Zwischenzeit nichts geändert.</w:t>
      </w:r>
    </w:p>
    <w:p>
      <w:r>
        <w:rPr>
          <w:b/>
        </w:rPr>
        <w:t>E. 7.2</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9.1</w:t>
      </w:r>
    </w:p>
    <w:p>
      <w:r>
        <w:t>Das mit der Beschwerde gestellte Gesuch um Gewährung der unentgeltlichen Rechtspflege gemäss Art. 65 Abs. 1 und 2 VwVG ist abzuweisen, da die Begehren - wie sich aus den vorliegenden Erwägungen ergibt - als aussichtslos zu bezeichnen sind, weshalb die kumulativen Voraussetzungen für die Gewährung der unentgeltlichen Rechtspflege nicht erfüllt sind.</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r>
        <w:rPr>
          <w:b/>
        </w:rPr>
        <w:t>E. 9.3</w:t>
      </w:r>
    </w:p>
    <w:p>
      <w:r>
        <w:t>Schliesslich ist das Rechtsbegehren des Beschwerdeführers, er sei im Rahmen einer vorsorglichen Massnahme nach Art. 56 VwVG zu legalisieren, mit vorliegendem Urteil als gegenstandslos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