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D-1077/2009 vom 1. März 2010</w:t>
      </w:r>
    </w:p>
    <w:p>
      <w:r>
        <w:t>Bundesverwaltungsgericht, 2010-03-01, DE</w:t>
      </w:r>
    </w:p>
    <w:p>
      <w:r>
        <w:rPr>
          <w:b/>
        </w:rPr>
        <w:t xml:space="preserve">Quelle: </w:t>
      </w:r>
      <w:r>
        <w:t>https://mcp.opencaselaw.ch/entscheid/bvger_D-1077_2009</w:t>
      </w:r>
    </w:p>
    <w:p>
      <w:r>
        <w:t>FR: TAF D-1077/2009 du 1 mars 2010</w:t>
      </w:r>
    </w:p>
    <w:p>
      <w:r>
        <w:t>IT: TAF D-1077/2009 del 1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die vom Beschwerdeführer geltend gemachte Verfolgung durch die heimatlichen Behörden als unglaubhaft, weshalb seine Vorbringen den Anforderungen an die Glaubhaftigkeit gemäss Art. 7 AsylG nicht standhalten würden.</w:t>
      </w:r>
    </w:p>
    <w:p>
      <w:r>
        <w:rPr>
          <w:b/>
        </w:rPr>
        <w:t>E. 4.2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4.3</w:t>
      </w:r>
    </w:p>
    <w:p>
      <w:r>
        <w:t>Vorab ist festzustellen, dass der Beschwerdeführer den Wortlaut sämtlicher Protokolle mit seiner Unterschrift bestätigt hat und sich deshalb seine Aussagen grundsätzlich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in der Befragung im Empfangszentrum zumindest ansatzweise erwähnt werden.</w:t>
      </w:r>
    </w:p>
    <w:p>
      <w:r>
        <w:rPr>
          <w:b/>
        </w:rPr>
        <w:t>E. 4.4</w:t>
      </w:r>
    </w:p>
    <w:p>
      <w:r>
        <w:t>In Übereinstimmung mit der Vorinstanz ist festzuhalten, dass die Aussagen des Beschwerdeführers hinsichtlich seiner Asylvorbringen in wesentlichen Punkten widersprüchlich sind. Beispielsweise führte er anlässlich der Kurzbefragung aus, er sei von vier Kadermitgliedern der PDK-I angefragt worden, ob er ihnen helfen wolle, Parteimaterial nach E._______ zu bringen (act. A 1/10, S. 5), hingegen er bei der Anhörung ausdrücklich geltend machte, nur eine Person, nämlich G._______, habe ihn diesbezüglich angefragt (act. A 9/26, S. 14 f.). Die diesbezüglichen Vorbringen in der Beschwerde sind nicht geeignet, diesen Widerspruch aufzulösen. Widersprüchlich äusserte sich der Beschwerdeführer auch bezüglich des Zeitpunktes, an dem er zum zweiten Mal ein Paket übergeben habe. So sagte er anlässlich der Kurzbefragung aus, er habe das zehn bis zwölf Tage nach Übergabe des ersten Paketes getan (act. A 1/10, S. 5), demgegenüber er bei der Anhörung vorbrachte, das zweite Paket habe er fünf Tage nach Übergabe des ersten Paketes erhalten und anschliessend auf dem Friedhof übergeben (act. A 9/26, S. 18 f.). Die in der Rechtsmittelschrift vorgebrachte Behauptung, wonach sich die in der Kurzbefragung vorgebrachte Zeitangabe von zehn bis zwölf Tagen auf die dritte und nicht auf die zweite Paketübergabe beziehe, weshalb zwischen den Aussagen in der Kurzbefragung und der Anhörung kein Widerspruch bestehe, ist aufgrund der klaren Aussage des Beschwerdeführers anlässlich der Kurzbefragung nicht glaubhaft. Widersprochen hat sich der Beschwerdeführer auch hinsichtlich der Person, die ihm das erste Paket überbracht haben soll. Anlässlich der Kurzbefragung sagte er aus, er habe die Person, die ihm das Paket übergeben habe, nicht gekannt (act. A 1/10, S. 6), dagegen er bei der Anhörung vorbrachte, G._______ habe ihm das Paket übergeben (act. A 9/26, S. 17). Auch hinsichtlich des angeblichen Treffpunktes auf dem Friedhof in E._______ hat der Beschwerdeführer unterschiedliche Aussagen gemacht. Bei der Kurzbefragung gab er zu Protokoll, dieser sei bei einem "grünen Grabmal" gewesen (act. A 1/10, S. 5), während er anlässlich der Anhörung geltend machte, der Treffpunkt habe sich bei einer "blauen Kugel" befunden (act. A 9/26, S. 16). Die Behauptung in der Rechtsmittelschrift, wonach sich der Beschwerdeführer insbesondere deshalb widersprüchlich geäussert habe, da er Mühe habe, die Farben grün und blau auseinander zu halten, ist als Schutzbehauptung zu werten. Aufgrund der gesetzlich verankerten Mitwirkungspflicht gemäss Art. 8 Abs. 1 AsylG wäre es die Aufgabe des Beschwerde-führers gewesen, diese Behauptung mit einem ärztlichen Zeugnis zu belegen. Da er diese für ihn ohne Weiteres mögliche Mitwirkung unterlassen hat, kann vorliegend die geltend gemachte Farben-blindheit nicht geglaubt werden. Aus dem soeben Gesagten folgt, dass es nicht Aufgabe des Gerichts ist, die behauptete Farbenblindheit des Beschwerdeführers ärztlich abklären zu lassen, weshalb der dies-bezüglich in der Beschwerde gestellte Beweisantrag abzuweisen ist. Im Übrigen ist nicht ersichtlich, wie der Beschwerdeführer bei einer allfälligen Farbenblindheit den Treffpunkt auf dem Friedhof hätte finden können, zumal er nicht geltend gemacht hat, er habe dort Leute nach dem Objekt gefragt. Auch die anderen in der Rechtsmittelschrift erhobenen Einwendungen sind nicht geeignet, die offensichtlich widersprüchlichen Aussagen des Beschwerdeführers bezüglich des Treffpunktes auf dem Friedhof erklärbar zu machen, weshalb die weiteren Beweisanträge (Einvernahme des Beschwerdeführers, Einvernahme und Sprachtestung der Übersetzer der Kurzbefragung und der Anhörung, sprachwissenschaftliches Gutachten betreffend kurdische Farbterminologie) im Rahmen einer antizipierten Beweis-würdigung abzuweisen sind (vgl. dazu BVGE 2008/24 E. 7.2, EMARK 2003 Nr. 13). Gegen die Glaubhaftigkeit der Vorbringen des Beschwerdeführers sprechen überdies seine widersprüchlichen Aussagen hinsichtlich der Person, zu der er im Irak geflohen sein will. Anlässlich der Kurzbefragung sagte er aus, er sei zu einem seiner Onkel, der dort lebe, geflohen (act. A 1/10, S. 5), hingegen er bei der Anhörung vorbrachte, er habe keinen Onkel im Irak, er sei dort zu einem alten Freund seines Vaters geflohen (act. A 9/26, S. 10 f.). Das diesbezügliche Vorbringen in der Beschwerde, der kurdische Begriff "mam" stehe einerseits für Bruder des Vaters aber auch für Freund des Vaters, vermag den Widerspruch nicht aufzulösen, zumal der Beschwerdeführer anlässlich der Kurzbefragung sich dahingehend äusserte, ein Onkel "von mir" lebe im Irak. Auch die eingereichten Bestätigungsschreiben sind nicht geeignet, die vom Beschwerdeführer geltend gemachten Asylvorbringen glaubhaft zu machen. So nennen die Faxeingabe der PDK-I vom 1. März 2008 sowie das deutschsprachige Schreiben der PDK keine konkreten vom Beschwerdeführer in der Kurzbefragung vom 30. November 2007 und der Anhörung vom 11. Januar 2008 vorgebrachten Ereignisse, sondern sprechen lediglich in genereller Art und Weise von einer Verfolgungssituation, die auf unzählige Personen zutreffen kann, weshalb die diesbezüglichen Beweismittel als Gefälligkeitsschreiben zu beurteilen sind. Bezüglich des Bestätigungsschreibens der dreizehn Dorfbewohner ist festzuhalten, dass keine Gewähr für die Echtheit dieses Schreibens besteht, insbesondere da es nur in Kopie eingereicht wurde, weshalb auch dieses Schreiben - unabhängig vom Inhalt - den vom Beschwerdeführer geltend gemachten Sachverhalt nicht zu belegen vermag. Dies auch unter Berücksichtigung, dass sich der Beschwerdeführer in seinen Aussagen erheblich widersprochen hat. Hinsichtlich der eingereichten Gerichtsvorladung vom 25. Juli 2007 und der sich darauf beziehenden Mahnung vom 25. Oktober 2007 ist übereinstimmend mit der Vorinstanz festzuhalten, dass diese Dokumente allein schon aufgrund des Ausstellungsdatums der Gerichtsvorladung nichts mit dem vorliegend geschilderten Sachverhalt zu tun haben können, da sich dieser gemäss Aussagen des Beschwerdeführers anlässlich der Befragungen erst im Oktober 2007 abgespielt haben soll. Die in der Rechtsmittelschrift erhobene Behauptung, wonach das Ausstellungsdatum auf der Gerichtsvorladung von der iranischen Behörde zurückdatiert worden sei, überzeugt das Gericht nicht, zumal es sich um eine unbewiesene beziehungsweise unbelegte Behauptung handelt. Überdies ist darauf hinzuweisen, dass die Gerichtsvorladung sowie die Mahnung lediglich in Kopie eingereicht worden sind, weshalb ihr Beweiswert ohnehin nur sehr gering ist. Aus dem Gesagten folgt, dass bezüglich dieser Beweismittel darauf verzichtet werden kann, Berichte einzuholen respektive eine Rechtsexpertise durchführen zu lassen, weshalb die diesbezüglich in der Beschwerde gestellten Beweisanträge abzuweisen sind.</w:t>
      </w:r>
    </w:p>
    <w:p>
      <w:r>
        <w:rPr>
          <w:b/>
        </w:rPr>
        <w:t>E. 4.5</w:t>
      </w:r>
    </w:p>
    <w:p>
      <w:r>
        <w:t>Der Beschwerdeführer vertritt die Auffassung, das Bundesverwaltungsgericht müsse noch eine Reihe von Zeugenbefragungen durchführen. So beantragt er die Befragung von H._______, G._______ sowie der dreizehn Dorfbewohner, die das Bestätigungsschreiben unterzeichnet haben. Nach der höchstrichterlichen Rechtsprechung kann das Beweisverfahren geschlossen werden, wenn die noch im Raum stehenden Beweisanträge eine nicht erhebliche Tatsache betreffen oder offensichtlich untauglich sind, etwa weil ihnen die Beweiseignung an sich abgeht oder - gerade umgekehrt - die betreffende Tatsache aus den Akten bereits genügend ersichtlich ist. Diesfalls werden von den Parteien gestellte Beweisanträge im Rahmen einer vorweggenom-menen, sog. antizipierten Beweiswürdigung abgewiesen. Dies ist zulässig, wenn das Gericht aufgrund bereits erhobener Beweise oder aus anderen Gründen den rechtserheblichen Sachverhalt für genügend geklärt hält und überzeugt ist, seine rechtliche Überzeugung würde durch weitere Beweiserhebungen nicht geändert (ANDRÉ MOSER/MICHAEL BEUSCH/LORENZ KNEUBÜHLER, Prozessieren vor dem Bundesverwaltungsgericht, Handbücher für die Anwaltspraxis, Band X, Basel 2008, Rz. 3.144 S. 165). Für das Verwaltungsverfahren, mithin auch für das Asylverfahren (vgl. Art. 6 AsylG), sieht Art. 12 Bst. c VwVG den Zeugenbeweis zwar vor, doch ist darauf hinzuweisen, dass die Zeugeneinvernahme gemäss der einschränkenden Bestimmung von Art. 14 Abs. 1 VwVG in den Verfahren im Anwendungsbereich des VwVG nur ausnahmsweise eingesetzt werden darf, wenn die anderen Mittel der Sachverhaltserhebung nicht zum Ziel führen (vgl. CHRISTOPH AUER, in: Christoph Auer/Markus Müller/Benjamin Schindler [Hrsg.] VwVG Kommentar zum Bundesgesetz über das Verwaltungsverfahren, Zürich/St. Gallen 2008, Art. 12 N 37). Diese so umschriebene Subsidiarität der Zeugeneinvernahme gilt im Asylverfahren umso mehr, als zwischen dem Asylsuchenden und allfälligen einzuvernehmenden Drittpersonen häufig ein spezifischer Interessenkonflikt besteht. Im vorliegenden Fall hält das Gericht aufgrund der vorliegenden Akten den rechtserheblichen Sachverhalt für genügend geklärt und geht davon aus, seine rechtliche Überzeugung würde auch durch die beantragten Zeugenbefragungen nicht geändert. Dies insbesondere auch deshalb, da es sich bei H._______, G._______ und den dreizehn Dorfbewohnern um befangene Personen handeln dürfte. Die beantragten Zeugenbefragungen sind daher in antizipierter Beweiswürdigung abzuweisen.</w:t>
      </w:r>
    </w:p>
    <w:p>
      <w:r>
        <w:rPr>
          <w:b/>
        </w:rPr>
        <w:t>E. 4.6</w:t>
      </w:r>
    </w:p>
    <w:p>
      <w:r>
        <w:t>Nach dem Gesagten ergibt sich, dass das Vorbringen des Beschwerdeführers, wonach er wegen seiner politischen Aktivitäten im Iran verfolgt werde, als nicht überwiegend wahrscheinlich und somit als nicht glaubhaft im Sinne von Art. 7 AsylG zu erachten ist. Vielmehr ist übereinstimmend mit der Vorinstanz davon auszugehen, dass es sich bei der behaupteten Verfolgungssituation durch die iranischen Behörden lediglich um ein Konstrukt des Beschwerdeführers handelt.</w:t>
      </w:r>
    </w:p>
    <w:p>
      <w:r>
        <w:rPr>
          <w:b/>
        </w:rPr>
        <w:t>E. 5.1</w:t>
      </w:r>
    </w:p>
    <w:p>
      <w:r>
        <w:t>In der Rechtsmittelschrift sowie der Stellungnahme vom 24. April 2009 machte der Beschwerdeführer sinngemäss geltend, er habe sich auch in exilpolitischer Hinsicht in der Schweiz exponiert, weshalb er sich zusätzlich auf subjektive Nachfluchtgründe im Sinne von Art. 54 AsylG berufe. Zum Beweis seiner exilpolitischen Tätigkeiten reichte er unter anderem mehrere Fotos (in Kopie), die seine Parteitätigkeit belegen würden, ein.</w:t>
      </w:r>
    </w:p>
    <w:p>
      <w:r>
        <w:rPr>
          <w:b/>
        </w:rPr>
        <w:t>E. 5.2</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EMARK 1995 Nr. 7 E. 7b und 8 S. 67 ff.; EMARK 2000 Nr. 16 E. 5a S. 141 f., mit weiteren Hinweisen).</w:t>
      </w:r>
    </w:p>
    <w:p>
      <w:r>
        <w:rPr>
          <w:b/>
        </w:rPr>
        <w:t>E. 5.3</w:t>
      </w:r>
    </w:p>
    <w:p>
      <w:r>
        <w:t>Aus den Akten ist ersichtlich, dass der Beschwerdeführer am 19. September 2008 an einer Demonstration vor der iranischen Botschaft in Bern teilgenommen hat. Zusätzlich lässt sich den Akten entnehmen, dass der Beschwerdeführer Aufnahme als Parteimitglied der PDK Schweiz sowie der Lawan Rojhelat (Jungpartei der PDK Schweiz) gefunden und in dieser Eigenschaft an verschiedenen Feiern der PDK teilgenommen hat.</w:t>
      </w:r>
    </w:p>
    <w:p>
      <w:r>
        <w:rPr>
          <w:b/>
        </w:rPr>
        <w:t>E. 5.4</w:t>
      </w:r>
    </w:p>
    <w:p>
      <w:r>
        <w:t>Mit Bezug auf den Iran ist in genereller Hinsicht festzuhalten, dass durch die Neufassung des iranischen Strafrechts vom 9. Juli 1996 die politische Betätigung für staatsfeindliche Organisationen im Ausland unter Strafe gestellt ist (Art. 498-500). Zudem überwachen die iranischen Behörden die politischen Aktivitäten ihrer Staatsangehörigen im Ausland. Hierbei ist davon auszugehen, dass sich die Auslandgeheimdienste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von Exilorganisationen der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verteilen,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w:t>
      </w:r>
    </w:p>
    <w:p>
      <w:r>
        <w:rPr>
          <w:b/>
        </w:rPr>
        <w:t>E. 5.5</w:t>
      </w:r>
    </w:p>
    <w:p>
      <w:r>
        <w:t>Im konkreten Fall geht das Gericht nach einer Auswertung des eingereichten Beweismaterials unter Mitberücksichtigung der übrigen Akten davon aus, dass insgesamt keine subjektiven Nachfluchtgründe bestehen, die bei einer Rückkehr des Beschwerdeführers in den Iran zu einer für die Flüchtlingseigenschaft relevanten Verfolgung führen würden. Seiner Einschätzung legt es dabei die Erkenntnis zugrunde,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 Ein dermassen erhöhter Exponierungsgrad kann dem Beschwerdeführer nicht bescheinigt werden. Wie in E. 4.4 ff. dargelegt, kann dem Beschwerdeführer nicht geglaubt werden, dass er sich bereits im Iran politisch betätigt hat. Daher ist davon auszugehen, dass der Beschwerdeführer im Iran nicht ein Verhalten an den Tag gelegt hat, durch das er als politischer Aktivist und Regimegegner in den Fokus der Behörden hätte geraten können. Die geltend gemachten exilpolitischen Tätig-keiten des Beschwerdeführers gehen nicht über das hinaus, was viele iranische Staatsangehörige im Rahmen exilpolitischer Aktionen aus-führen, ohne dass von einer relevanten Gefährdung dieser Personen auszugehen wäre. So ist dem Beschwerdeführer insbesondere die Bekleidung einer wichtigen Funktion innerhalb der PDK Schweiz respektive der Lawan Rojhelat abzusprechen. Vor diesem Hintergrund lässt die im vorliegenden Verfahren dokumentierte Beteiligung des Beschwerdeführers an exilpolitischen Aktivitäten insgesamt nicht das Gefährdungspotenzial ersehen, welches dieser daraus zu ziehen versucht.</w:t>
      </w:r>
    </w:p>
    <w:p>
      <w:r>
        <w:rPr>
          <w:b/>
        </w:rPr>
        <w:t>E. 5.6</w:t>
      </w:r>
    </w:p>
    <w:p>
      <w:r>
        <w:t>Es ist somit nicht mit überwiegender Wahrscheinlichkeit davon auszugehen, dass der Beschwerdeführer im Falle einer Rückkehr in den Heimatstaat befürchten muss, dort ernsthafte Nachteile im Sinne von Art. 3 AsylG zu erleiden. Insbesondere fehlen im vorliegenden Fall jegliche aktenkundige Hinweise darauf, dass im Iran aufgrund der genannten politischen Aktivitäten im Exil gegen ihn ein Strafverfahren oder andere behördliche Massnahmen eingeleitet worden sind. In letzter Konsequenz ist hierbei darauf hinzuweisen,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der Beschwerdeführer ist auf seine in Art. 8 AsylG verankerte Mitwirkungspflicht zu verweisen. Angesichts dessen sowie der umfangreichen regimekritischen Aktivitäten von Iranerinnen und Iranern in ganz Westeuropa erscheint es insgesamt als unwahrscheinlich, dass die iranischen Behörden von den Exilaktivitäten des Beschwerdeführers soweit Notiz genommen haben, dass sie diese als konkrete und ernsthafte Bedrohung für das politische System empfinden würden.</w:t>
      </w:r>
    </w:p>
    <w:p>
      <w:r>
        <w:rPr>
          <w:b/>
        </w:rPr>
        <w:t>E. 5.7</w:t>
      </w:r>
    </w:p>
    <w:p>
      <w:r>
        <w:t>Abschliessend ist darauf hinzuweisen, dass der Beschwerdeführer aufgrund seiner Ausreise aus dem Iran und der Asylbeantragung in der Schweiz bei einer Rückkehr in seine Heimat keine asylrechtlich relevanten Nachteile zu befürchten hat. Für den vorliegenden Fall ist festzustellen, dass die behauptete illegale Ausreise nicht feststeht und diese mit Blick auf die überwiegend unglaubhaften Verfolgungsvorbringen zumindest zweifelhaft ist. Selbst wenn der Beschwerdeführer jedoch tatsächlich illegal ausgereist und den iranischen Behörden seine Asylgesuchstellung bekannt geworden sein sollte, ist nicht davon auszugehen, dass er bei seiner Rückkehr deswegen mit asylrechtlich relevanten Nachteilen zu rechnen hätte (vgl. BVGE 2009/28 E. 7.4.4).</w:t>
      </w:r>
    </w:p>
    <w:p>
      <w:r>
        <w:rPr>
          <w:b/>
        </w:rPr>
        <w:t>E. 6</w:t>
      </w:r>
    </w:p>
    <w:p>
      <w:r>
        <w:t>Zusammenfassend ist festzustellen, dass es dem Beschwerdeführer nicht gelungen ist, nachzuweisen oder zumindest glaubhaft zu machen, dass er in der Heimat ernsthafte Nachteile erlitten hat oder solche bei der Ausreise zu befürchten hatte oder im Falle der Rückkehr in den Iran befürchten müsste. Der rechtserhebliche Sachverhalt ist alsdann in der Kurzbefragung vom 30. November 2007 und in der Anhörung des Beschwerdeführers vom 11. Januar 2008 vollständig und richtig erhoben und in der angefochtenen Verfügung durch das BFM gewürdigt worden. Zudem ist festzuhalten, dass dem Beschwerdeführer dadurch, dass in der angefochtenen Verfügung die dargelegten Widersprüche nicht mit Fundstellen belegt worden sind, kein nennenswerter Nachteil entstanden ist, da es ihm respektive seinem Rechtsvertreter ohne Weiteres möglich gewesen ist, anhand der Protokolle die vorgehaltenen Widersprüche zu überprüfen und sich dazu zu äussern, was er in der Rechtsmittelschrift auch ausführlich getan hat. Es besteht deshalb kein Anlass, die Sache zur Feststellung des rechtserheblichen Sachverhalts und namentlich zur korrekten Angabe der Fundstellen vorgehaltener Widersprüche in den Aussagen des Beschwerdeführers an das BFM zurückzuweisen, weshalb der entsprechende Antrag abzuweisen ist. Nach dem Gesagten erübrigt es sich, auf die Ausführungen und Einwände in der Beschwerde beziehungsweise der Stellungnahme vom 24. April 2009 sowie die zahlreich eingereichten Beweismittel im Einzelnen weiter einzugehen, da sie am Ergebnis nichts ändern. Das BFM hat das Asylgesuch des Beschwerdeführers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die Beschwerdeführenden sich bei einer Rückkehr unvermeidlich einer konkreten Gefährdung ausgesetzt sehen würden, besteht mithin nicht.</w:t>
      </w:r>
    </w:p>
    <w:p>
      <w:r>
        <w:rPr>
          <w:b/>
        </w:rPr>
        <w:t>E. 8.3.3</w:t>
      </w:r>
    </w:p>
    <w:p>
      <w:r>
        <w:t>Der - soweit aktenkundig - gesunde, alleinstehende Beschwerdeführer wohnte seit seiner Kindheit bis zu seiner Ausreise aus seinem Heimatland in D._______, wo gemäss seinen eigenen Aussagen auch seine Eltern und mehrere seiner Geschwister leben. Es ist daher zu schliessen, dass der Beschwerdeführer bei seiner Rückkehr in den Iran ein soziales Netz vorfinden wird. Ausserdem verfügt der Beschwerdeführer und seine Familie in D._______ über viel Land und viel Vieh, weshalb davon auszugehen ist, er könne sich in seiner Heimat auch in wirtschaftlicher Hinsicht wieder integrieren, zumal er über jahrelange Erfahrung in der Landwirtschaft verfügt. Diesbezüglich ist festzuhalten, dass aufgrund der unglaubhaften Aussagen des Beschwerdeführers im Zusammenhang mit der geltend gemachten Verfolgung davon auszugehen ist, dass die iranischen Behörden sein Land nicht beschlagnahmt haben, wie das von ihm anlässlich der Anhörung vorgebracht wurde. Nach dem Gesagten kann der Vollzug der Wegweisung in sein Heimatland nicht als unzumutbar bezeichnet werden.</w:t>
      </w:r>
    </w:p>
    <w:p>
      <w:r>
        <w:rPr>
          <w:b/>
        </w:rPr>
        <w:t>E. 8.4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Das in der Rechtsmittelschrift erhobene Begehren, der Migrationsdienst des Kantons F._______ sei über die aufschiebende Wirkung der Beschwerde zu informieren, ist mit Zwischenverfügung des Gerichts vom 3. März 2009 gegenstandslos geworden.</w:t>
      </w:r>
    </w:p>
    <w:p>
      <w:r>
        <w:rPr>
          <w:b/>
        </w:rPr>
        <w:t>E. 12</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6. März 2009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