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D-1069/2020 vom 1. Mai 2020</w:t>
      </w:r>
    </w:p>
    <w:p>
      <w:r>
        <w:t>Bundesverwaltungsgericht, 2020-05-01, DE</w:t>
      </w:r>
    </w:p>
    <w:p>
      <w:r>
        <w:rPr>
          <w:b/>
        </w:rPr>
        <w:t xml:space="preserve">Quelle: </w:t>
      </w:r>
      <w:r>
        <w:t>https://mcp.opencaselaw.ch/entscheid/bvger_D-1069_2020</w:t>
      </w:r>
    </w:p>
    <w:p>
      <w:r>
        <w:t>FR: TAF D-1069/2020 du 1 mai 2020</w:t>
      </w:r>
    </w:p>
    <w:p>
      <w:r>
        <w:t>IT: TAF D-1069/2020 del 1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zweifelte angesichts zahlreicher Widersprüche sowie aufgrund der vagen und undifferenzierten Schilderungen an der Glaubhaftigkeit der Vorbringen des Beschwerdeführers. So habe er anlässlich der BzP dargelegt, er sei kurz vor seiner Verhaftung im Hotel in Begleitung seiner beiden homosexuellen Freunde namens J._______ und K._______ gewesen, wohingegen er in der Anhörung erklärt habe, seine beiden homosexuellen Freunde würden G._______ und H._______ heissen. Ferner habe er zuerst angegeben, nur einmal während des ersten Verhörs geschlagen worden zu sein, um in der Anhörung auszuführen, er sei während seiner zwei- bis dreimonatigen Haft mehrfach misshandelt worden. Auch habe er anlässlich der BzP geschildert, während seiner Inhaftierung selber zugegeben zu haben, homosexuelle Handlungen vorgenommen zu haben, was erneut im Widerspruch zu den Aussagen in der Anhörung stehe, dass einer seiner beiden Freunde solche Handlungen eingestanden habe. Weiter habe er sich widersprüchlich zu seiner Freilassung geäussert und zum einen darlegt, von einem Missionar aus der Haft befreit worden zu sein, dem gegenüber ein anderes Mal erklärt, von einem Missionar und seiner Mutter befreit worden zu sein. Ferner habe er gegensätzliche Angaben bezüglich einer Vorsprache bei einem Richter gemacht. Zudem sei es zu verschiedenen Ungereimtheiten hinsichtlich der Zeitspanne zwischen seiner Haftbefreiung und seiner Ausreise gekommen. Überdies seien seine Schilderungen im Zusammenhang mit der Geburtstagsfeier im Hotel, seiner Festnahme, der Zeit in der Haft sowie den Misshandlungen lediglich oberflächlich und undetailliert ausgefallen, wobei er nicht den Eindruck habe vermitteln können, die Ereignisse selber erlebt zu haben. Zusammenfassend habe er nicht glaubhaft darlegen können, aufgrund seiner sexuellen Orientierung Probleme erfahren zu haben oder in absehbarer Zeit mit einer Verfolgung deswegen rechnen zu müssen. Schliesslich stehe auch einem Wegweisungsvollzug nichts im Weg, da er keine finanzielle Notsituation geltend gemacht habe. Zudem verfüge er über ein familiäres oder soziales Netz.</w:t>
      </w:r>
    </w:p>
    <w:p>
      <w:r>
        <w:rPr>
          <w:b/>
        </w:rPr>
        <w:t>E. 5.2</w:t>
      </w:r>
    </w:p>
    <w:p>
      <w:r>
        <w:t>Der Beschwerdeführer hielt den Argumenten der Vorinstanz entgegen, er werde aufgrund seiner sexuellen Neigungen und Handlungen behördlich gesucht, weshalb sein Leben in seinem Heimatland in Gefahr sei. In Nigeria sei Homosexualität eine schwere Sünde und eine Straftat, für welche man mit bis zu 21 Jahren Haft oder im schlimmsten Fall gar mit dem Tod bestraft werden könne. Gemäss verschiedenen Berichten von Nichtregierungsorganisationen sei es seit der Verschärfung des diesbezüglichen Gesetzes im Jahr 2014 zu häufigen Massenverhaftungen und schwerer Gewalt gegenüber Homosexuellen gekommen. Entgegen der Argumentation der Vorinstanz, habe er nie gelogen, sei immer beim Kern seiner Geschichte geblieben und habe versucht, Unklarheiten oder Verwechslungen zu erklären. Da das Erlebte immer noch schmerzhaft sei und überdies bereits einige Zeit zurückliege, sei es zur Vermischung von Einzelheiten gekommen. Ferner sei er während der BzP nicht so detailliert wie bei der Anhörung befragt worden, bei welcher er alle Details, welche in der BzP nicht erwähnt worden seien, habe ansprechen können. Zudem habe es auch Verständnisprobleme mit der Dolmetscherin gegeben. Sie habe ihn nicht richtig verstanden, weshalb er während der Anhörung begonnen habe, weniger ausführlich zu sprechen. Hinsichtlich der Widersprüche sei zu erklären, dass er anlässlich der BzP die Namen seiner Freunde verwechselt habe, wobei sie alle gemeinsam sexuelle Abenteuer erlebt hätten. Zudem sei er an der Anhörung sehr nervös gewesen und sei sich nicht bewusst gewesen, wie wichtig solche Details für sein Asylgesuch sein würden. Die angeblichen Widersprüche würden auf Missverständnissen basieren, welche sich aus der Tatsache ergeben würden, dass er während der BzP nicht detailliert seine Vorbringen habe schildern können. Er sei gerne bereit, die ihm vorgeworfene Oberflächlichkeit seiner Schilderungen durch eine erneute Befragung zu widerlegen.</w:t>
      </w:r>
    </w:p>
    <w:p>
      <w:r>
        <w:rPr>
          <w:b/>
        </w:rPr>
        <w:t>E. 6.1</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6.2.1</w:t>
      </w:r>
    </w:p>
    <w:p>
      <w:r>
        <w:t>Das Bundesverwaltungsgericht kommt angesichts der verschiedenen zentralen Widersprüche hinsichtlich der Fluchtgründe sowie aufgrund der unsubstanziiert gehaltenen Aussagen zum Schluss, dass die Vorbringen des Beschwerdeführers als unglaubhaft zu qualifizieren sind und somit den Anforderungen an Art. 7 AsylG nicht standhalten. Bereits der Umstand, dass er zwei Mal völlig andere Namen der mit ihm in die angebliche Straftat involvierten Personen angegeben hat, lässt erheblich an der Glaubhaftigkeit seiner Asylvorbringen zweifeln, zumal die Umstände dieses Ereignisses prägend und zentral für seine Flucht gewesen sein müssten. Es fällt auf, dass er sich in seiner Beschwerdeschrift zudem in einen weiteren Widerspruch verstrickte und erklärte, alle die von ihm genannten fünf Freunde hätten gemeinsam sexuelle Abenteuer erlebt. Diese Aussage steht jedoch im deutlichen Widerspruch zur Schilderung während der Anhörung, anlässlich welcher er explizit darlegte, L._______ und M._______ seien die ihm zwei einzigen bekannten homosexuellen (ehemaligen) Mitschüler gewesen (vgl. act. A44/23, F127). Weiter sind seine Ausführungen, ob es zu einer Gerichtsverhandlung gekommen sei, widersprüchlich ausgefallen. So erklärte er einerseits in der BzP zweimal (vgl. act. A3/13, F7.01), vor den Richter geführt worden zu sein, um anderseits in der Beschwerdeschrift zu erklären, er habe lediglich aus der Tatsache, dass einer der Männer keine Uniform (wie die anderen Polizisten) getragen hätte, geschlossen, dass es sich um einen Richter handeln müsse. Gleichzeitig verneinte er explizit während der Anhörung, vor einen Richter geführt worden zu sein (vgl. act. A44/23; F175-176). Sodann konnte er die weiteren Widersprüche im Zusammenhang mit der angeblichen Haft und den Misshandlungen sowie zur Zeitspanne zwischen seiner Freilassung und seiner Ausreise nicht nachvollziehbar entkräften. Ferner konnte er nicht schlüssig darlegen, unter welchen konkreten Umständen er aus der Haft entlassen worden war. Insbesondere wirkt es lebensfremd, dass nur er und nicht auch seine beiden inhaftierten Freunde freigelassen worden waren, zumal alle drei dasselbe College besucht haben und unter demselben Schutz der Priester gestanden haben müssen.</w:t>
      </w:r>
    </w:p>
    <w:p>
      <w:r>
        <w:rPr>
          <w:b/>
        </w:rPr>
        <w:t>E. 6.2.2</w:t>
      </w:r>
    </w:p>
    <w:p>
      <w:r>
        <w:t>Weiter fallen die unsubstanziierten Schilderungen bezüglich der Haftzeit des Beschwerdeführers sowie seiner Flucht auf. Dahingehend ist der Vorinstanz beizupflichten, dass der Eindruck entsteht, er habe die Ereignisse nicht selber erlebt. Daran ändert auch der Einwand des Beschwerdeführers und die Bemerkung der Hilfswerksvertretung auf dem Beiblatt nichts, dass es anlässlich der Anhörung zu Verständnisproblemen mit der Dolmetscherin gekommen sei. Dass er es deshalb unterlassen haben soll, Details und Gefühle darzulegen, vermag die klaren Widersprüche sowie die äusserst undetailliert und unpersönlich gehaltenen Schilderungen seiner Fluchtgründe kaum zu erklären.</w:t>
      </w:r>
    </w:p>
    <w:p>
      <w:r>
        <w:rPr>
          <w:b/>
        </w:rPr>
        <w:t>E. 6.3</w:t>
      </w:r>
    </w:p>
    <w:p>
      <w:r>
        <w:t>Zusammenfassend ergibt sich, dass die Vorinstanz zu Recht die Vorbringen des Beschwerdeführers als unglaubhaft eingestuft, die Flüchtlingseigenschaft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Nigeria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Nigeria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Weder die allgemeine Lage im Heimatstaat des Beschwerdeführers noch individuelle Gründe lassen darauf schliessen, dass er im Falle einer Rückkehr einer Gefahr ausgesetzt wäre, weshalb der Vollzug der Wegweisung vorliegend zumutbar ist. Der Beschwerdeführer verfügt über einen Maturaabschluss und hat die Möglichkeit, eine solide Ausbildung in Angriff zu nehmen, um sich ein finanziell unabhängiges Leben in Nigeria aufzubauen. Seine Mutter sowie verschiedene andere Verwandte leben in Nigeria und können ihm bei einer Reintegration behilflich sein. Insbesondere seine Mutter, welche ein Metzgereigeschäft führt und die katholischen Priester, welche ihm bereits seine zehnjährige Collegezeit mittels Stipendien finanziert haben, könnten ihn im Falle eines finanziellen Engpasses unterstützen, weshalb es vorliegend unwahrscheinlich erscheint, dass er in Nigeria in eine existenzbedrohende Lage geraten wird.</w:t>
      </w:r>
    </w:p>
    <w:p>
      <w:r>
        <w:rPr>
          <w:b/>
        </w:rPr>
        <w:t>E. 8.6</w:t>
      </w:r>
    </w:p>
    <w:p>
      <w:r>
        <w:t>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Nachdem das Gesuch um Gewährung der unentgeltlichen Prozessführung mit Zwischenverfügung vom 11. März 2020 abgewiesen wurde, sind aufgrund des Ausgangs des Verfahrens die Kosten von Fr. 750.- dem Beschwerdeführer aufzuerlegen (Art. 1-3 des Reglements vom 21. Februar 2008 über die Kosten und Entschädigungen vor dem Bundesverwaltungsgericht [VGKE, SR 173.320.2]; Art. 63 Abs. 1 VwVG). Der in gleicher Höhe geleistete Kostenvorschuss zur Bezahlung der Verfahrenskosten ist hierfür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