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D-1065/2023 vom 17. Mai 2023</w:t>
      </w:r>
    </w:p>
    <w:p>
      <w:r>
        <w:t>Bundesverwaltungsgericht, 2023-05-17, DE</w:t>
      </w:r>
    </w:p>
    <w:p>
      <w:r>
        <w:rPr>
          <w:b/>
        </w:rPr>
        <w:t xml:space="preserve">Quelle: </w:t>
      </w:r>
      <w:r>
        <w:t>https://mcp.opencaselaw.ch/entscheid/bvger_D-1065_2023</w:t>
      </w:r>
    </w:p>
    <w:p>
      <w:r>
        <w:t>FR: TAF D-1065/2023 du 17 mai 2023</w:t>
      </w:r>
    </w:p>
    <w:p>
      <w:r>
        <w:t>IT: TAF D-1065/2023 del 17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im Zeitpunkt der Urteilsfällung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Beschwerdeführerinnen rügen in formeller Hinsicht eine unvollständige und unrichtige Sachverhaltsermittlung sowie eine Verletzung des rechtlichen Gehörs beziehungsweise der Begründungspflicht. Das SEM habe sich nicht ausreichend mit den Verhältnissen in Kroatien, insbesondere mit den Zuständen in den Aufnahmezentren, auseinandergesetzt. Die Ausführungen der Vorinstanz zu den erlebten Misshandlungen der Beschwerdeführerinnen seien oberflächlich und textbausteinartig ausgefallen. Es sei keine individuelle Prüfung vorgenommen worden. Darüber hinaus sei der medizinische Sachverhalt nicht hinreichend abgeklärt worden.</w:t>
      </w:r>
    </w:p>
    <w:p>
      <w:r>
        <w:rPr>
          <w:b/>
        </w:rPr>
        <w:t>E. 3.1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3.2</w:t>
      </w:r>
    </w:p>
    <w:p>
      <w:r>
        <w:t>Das SEM hat den rechtserheblichen Sachverhalt hinreichend abgeklärt und sich unter Bezugnahme auf die Schilderungen der Beschwerdeführerin mit ihrer individuellen Situation, der von ihnen angeführten schlechten Behandlung in Kroatien, den ihnen offenstehenden Möglichkeiten, sich dort gegen eine rechtswidrige Behandlung zu wehren und ein Asylgesuch einzureichen, sowie der allgemeinen Situation inklusive der Pushback-Pro-blematik - unter Hinweis auf mehrere Abklärungen der Schweizer Vertretung in Kroatien - auseinandergesetzt. Auch die geltend gemachten gesundheitlichen Probleme hat die Vorinstanz erwähnt (vgl. angefochtene Verfügung, S. 3 f.). Angesichts der Angaben der Beschwerdeführerin und des Fehlens weiterer Informationen beziehungsweise Belege zu medizinischen Problemen bestanden für das SEM keine Anhaltspunkte für zusätzliche medizinische Abklärungen. Es ist deshalb nicht zu beanstanden, dass die Vorinstanz keine solchen getroffen hat. Die auf Beschwerdeebene erhobene Rüge der unvollständigen Feststellung des medizinischen Sachverhalts erweist sich somit als nicht stichhaltig.</w:t>
      </w:r>
    </w:p>
    <w:p>
      <w:r>
        <w:rPr>
          <w:b/>
        </w:rPr>
        <w:t>E. 3.3</w:t>
      </w:r>
    </w:p>
    <w:p>
      <w:r>
        <w:t>Ebenso wenig liegt eine Verletzung des rechtlichen Gehörs vor. So hat das SEM - entgegen der Auffassung der Beschwerdeführerinnen - eine Einzelfallprüfung vorgenommen, indem es nach Prüfung und Würdigung der Parteivorbringen nachvollziehbar aufgezeigt hat, von welchen Überlegungen es sich - gerade auch in individueller Hinsicht - leiten liess (vgl. angefochtene Verfügung, Ziff. II S. 2 ff.). Dabei musste es sich nicht ausdrücklich mit jeder tatbestandlichen Behauptung und jedem rechtlichen Einwand auseinandersetzen, sondern durfte sich auf die wesentlichen Gesichtspunkte beschränken (BGE 143 III 65 E. 5.2). So finden sich in den Erwägungen der Vorinstanz Ausführungen zum Verhalten der kroatischen Sicherheitskräfte den Beschwerdeführerinnen gegenüber, zur Frage des Vorliegens von systemischen Mängeln im kroatischen Asyl- und Aufnahmesystem sowie zu den Möglichkeiten der Beschwerdeführerinnen, ein Asylgesuch einzureichen und sich gegen unkorrektes Verhalten zu wehren. Richtig ist, dass das SEM in Bezug auf medizinische Belange auf die vorhandene Gesundheitsversorgung in Kroatien verwies, ohne (nochmals) auf die von der Beschwerdeführerin genannten Beeinträchtigungen einzugehen. Es darf indessen im konkreten Fall davon ausgegangen werden, dass die Vorinstanz damit das Vorliegen wesentlicher Beeinträchtigungen, welche einer Überstellung entgegenstehen würden, implizit verneinte. Jedenfalls war es den Betroffenen ohne weiteres möglich, sich ein Bild über die Tragweite des vorinstanzlichen Entscheides zu machen und diesen sachgerecht anzufechten. Hinsichtlich des Kindeswohls kann auf die nachfolgenden Ausführungen verwiesen werden (vgl. E. 8.1 und 8.2). Dass die Beschwerdeführerinnen die Auffassung und Schlussfolgerungen der Vor-instanz hinsichtlich deren Erkenntnisse zu Kroatien und der Würdigung ihrer Aussagen nicht teilen, ist keine Verletzung des rechtlichen Gehörs, sondern betrifft die materielle Beurteilung der vorgebrachten Überstellungshindernisse.</w:t>
      </w:r>
    </w:p>
    <w:p>
      <w:r>
        <w:rPr>
          <w:b/>
        </w:rPr>
        <w:t>E. 3.4</w:t>
      </w:r>
    </w:p>
    <w:p>
      <w:r>
        <w:t>Die formellen Rügen erweisen sich somit als unbegründet, weshalb keine Veranlassung besteht, die Sache zur Sachverhaltsfeststellung und Neubeurteilung an die Vorinstanz zurückzuweisen. Das diesbezügliche Eventualbegehren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(Art. 8-15 Dublin-III-VO) als zuständiger Staat bestimmt wird. Wird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5</w:t>
      </w:r>
    </w:p>
    <w:p>
      <w:r>
        <w:t>Die Beschwerdeführerin wurde laut Abgleich ihrer Fingerabdrücke mit der Eurodac-Datenbank am 5. Oktober 2022 in Kroatien aufgegriffen und daktyloskopisch registriert. Die kroatischen Behörden stimmten sodann ihrer Aufnahme (einschliesslich derjenigen ihrer Tochter) am 3. Februar 2023 gestützt auf Art. 13 Abs. 1 Dublin-III-VO ausdrücklich zu. Damit ist die Zuständigkeit Kroatiens grundsätzlich gegeben, was in der Beschwerde auch nicht bestritten wird.</w:t>
      </w:r>
    </w:p>
    <w:p>
      <w:r>
        <w:rPr>
          <w:b/>
        </w:rPr>
        <w:t>E. 6.1</w:t>
      </w:r>
    </w:p>
    <w:p>
      <w:r>
        <w:t>Die Beschwerdeführerinnen machen in ihrer Rechtsmitteleingabe jedoch systemische Mängel im Asyl- und Aufnahmesystem Kroatiens geltend und fordern mithin die Anwendung von Art. 3 Abs. 2 Sätze 2 und 3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E-1488/2020 vom 22. März 2023 hat das Bundesverwaltungsgericht - unter Berücksichtigung der Kritik am Verhalten der kroatischen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w:t>
      </w:r>
    </w:p>
    <w:p>
      <w:r>
        <w:rPr>
          <w:b/>
        </w:rPr>
        <w:t>E. 6.4</w:t>
      </w:r>
    </w:p>
    <w:p>
      <w:r>
        <w:t>Vor diesem Hintergrund erübrigt sich eine weitere Auseinandersetzung mit den diesbezüglichen Beschwerdevorbringen und erweist sich eine Anwendung von Art. 3 Abs. 2 Sätze 2 und 3 Dublin-III-VO als nicht gerechtfertigt.</w:t>
      </w:r>
    </w:p>
    <w:p>
      <w:r>
        <w:rPr>
          <w:b/>
        </w:rPr>
        <w:t>E. 7</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7.1</w:t>
      </w:r>
    </w:p>
    <w:p>
      <w:r>
        <w:t>Das Bundesverwaltungsgericht verkennt im Sinne der von den Beschwerdeführerinnen während des Dublin-Gesprächs geschilderten Erlebnisse und den in der Beschwerde gemachten generellen Ausführungen nicht, dass das Verhalten der kroatischen Grenzbehörden und die Behandlung von Asylsuchenden im Rahmen der Erstaufnahme bis zur Gesuchstellung in Kroatien problematisch sein können. Die Beschwerdeführerinnen vermögen indessen mit ihren Vorbringen zu den Erlebnissen in Kroatien nicht darzutun, dass sie dort - nach legaler Rückkehr aus einem Dublin-Mitgliedstaat - kein faires Asylverfahren erhalten und sie ernsthaft Gefahr laufen würden, bei einer Rückkehr dorthin unmenschlich im Sinne von Art. 3 EMRK behandelt zu werden. Sie werden sich nach der Dublin-Überstellung in einer anderen Situation als bei ihrer ersten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sie sich an die kroatischen Behörden wenden und ihre Rechte auf dem Rechtsweg einfordern (vgl. Art. 26 Aufnahmerichtlinie). Daran vermag der Umstand, dass ein rechtliches Vorgehen möglicherweise mit grösseren Hürden und Schwierigkeiten verbunden sein könnte als in der Schweiz, nichts zu ändern (vgl. Urteil des BVGer D-1686/2023 vom 5. April 2023 E. 6.3). Im Übrigen steht ihnen die Möglichkeit offen, die vor Ort tätigen karitativen Organisationen zu kontaktieren.</w:t>
      </w:r>
    </w:p>
    <w:p>
      <w:r>
        <w:rPr>
          <w:b/>
        </w:rPr>
        <w:t>E. 7.2.1</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7.2.2</w:t>
      </w:r>
    </w:p>
    <w:p>
      <w:r>
        <w:t>Eine solche Situation liegt nicht vor. Für die von den Beschwerdeführerinnen anlässlich des Dublin-Gesprächs vorgebrachten Beschwerden wird auf Bst. B vorstehend verwiesen. Mit der Beschwerde wurden weder weitere Beeinträchtigungen vorgebracht noch entsprechende Unterlagen eingereicht. Aus den elektronischen vorinstanzlichen Akten ergibt sich, dass dem SEM am 10. März 2023 betreffend die Beschwerdeführerin ein Bericht der Frauenklinik am Universitätsspital D._______ vom 23. Februar 2023 eingereicht wurde. Dieser führt folgende Diagnose auf: (...). Den Aussagen der Beschwerdeführerin und den aktenkundigen medizinischen Unterlagen lassen sich somit bezüglich beider Beschwerdeführerinnen keine gesundheitlichen Probleme entnehmen, die eine Überstellung nach Kroatien im Sinne der vorstehend zitierten restriktiven Rechtsprechung als unzulässig erscheinen liessen. Die geltend gemachten gesundheitlichen Beschwerden sind auch nicht von einer derartigen Schwere, dass aus humanitären Gründen von einer Überstellung abgesehen werden müsste.</w:t>
      </w:r>
    </w:p>
    <w:p>
      <w:r>
        <w:rPr>
          <w:b/>
        </w:rPr>
        <w:t>E. 7.3</w:t>
      </w:r>
    </w:p>
    <w:p>
      <w:r>
        <w:t>Im Übrigen verfügt Kroatien über eine ausreichende medizinische Infrastruktur. Es liegen keine Hinweise vor, wonach Kroatien den Beschwerdeführerinnen eine adäquate medizinische Behandlung verweigern würde. Darüber hinaus trägt die Vorinstanz bei der Organisation der Überstellung dem aktuellen Gesundheitszustand der Betroffenen Rechnung und informiert die zuständigen Behörden vor der Überstellung über den Gesundheitszustand und eine allfällig notwendige medizinische Behandlung.</w:t>
      </w:r>
    </w:p>
    <w:p>
      <w:r>
        <w:rPr>
          <w:b/>
        </w:rPr>
        <w:t>E. 8</w:t>
      </w:r>
    </w:p>
    <w:p>
      <w:r>
        <w:t>Die Beschwerdeführerinnen rügen schliesslich, die Vorinstanz habe das Kindeswohl nicht hinreichend berücksichtigt. In der angefochtenen Verfügung werde in keiner Weise Bezug auf das Kindeswohl genommen. Es müsse mit hoher Wahrscheinlichkeit davon ausgegangen werden, dass die Wegweisung nach Kroatien zu einer Retraumatisierung des Kindes führen werde.</w:t>
      </w:r>
    </w:p>
    <w:p>
      <w:r>
        <w:rPr>
          <w:b/>
        </w:rPr>
        <w:t>E. 8.1</w:t>
      </w:r>
    </w:p>
    <w:p>
      <w:r>
        <w:t>Kroatien ist Signatarstaat des Übereinkommens über die Rechte des Kindes (Kinderrechtskonvention [KRK]; SR 0.107) und kommt seinen daraus erwachsenen Verpflichtungen grundsätzlich nach, weshalb eine Überstellung nach Kroatien keine Verletzung von Art. 3 KRK darstellt. Wie der vorinstanzlichen Verfügung zu entnehmen ist, hat das SEM die Situation der Tochter der Beschwerdeführerin nicht ignoriert. Zwar hat es den Begriff «Kindeswohl» nicht ausdrücklich erwähnt, es hat aber die von der Beschwerdeführerin genannten gesundheitlichen Beschwerden der Tochter angeführt. Weitere Ausführungen waren unter den konkreten Umständen dieses Einzelfalls nicht erforderlich. Aus der Kinderrechtskonvention kann kein Anspruch auf Aufenthalt im Staat mit den für ein Kind vorteilhaftesten Lebensbedingungen abgeleitet werden. Bei der Prüfung des Kindeswohls steht vielmehr das grundlegende Bedürfnis von Kindern im Vordergrund, in möglichst engem Kontakt mit ihren Eltern aufwachsen zu können. Die (...)jährige Tochter der Beschwerdeführerin wird zusammen mit ihrer Mutter nach Kroatien überstellt und den Akten sind keine Hinweise darauf zu entnehmen, dass sie in Kroatien von der Mutter getrennt werden könnte. Aufgrund ihres Alters ist sie beziehungsmässig noch stark auf die Mutter fixiert. Angesichts der relativ kurzen Aufenthaltsdauer - auch wenn sie bereits die Schule besucht hat (vgl. SEM-Akten act. 1203094-30/1) und wohl noch besucht - kann sie noch nicht als hier verwurzelt gelten. Gemäss Aktenlage sind keine Umstände ersichtlich, die im Lichte des Kindeswohls gegen eine Überstellung sprechen würden.</w:t>
      </w:r>
    </w:p>
    <w:p>
      <w:r>
        <w:rPr>
          <w:b/>
        </w:rPr>
        <w:t>E. 8.2</w:t>
      </w:r>
    </w:p>
    <w:p>
      <w:r>
        <w:t>Nach dem Ausgeführten konnten die Beschwerdeführerinnen kein konkretes und ernsthaftes Risiko dartun, dass ihre Überstellung nach Kroatien die Verletzung völkerrechtlicher Bestimmungen zur Folge hätte. Ein notwendiger Selbsteintritt gebietet sich daher nicht.</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Kroatien der für die Behandlung der Asylgesuche der Beschwerdeführerinnen zuständige Mitgliedstaat gemäss Dublin-III-VO.</w:t>
      </w:r>
    </w:p>
    <w:p>
      <w:r>
        <w:rPr>
          <w:b/>
        </w:rPr>
        <w:t>E. 11</w:t>
      </w:r>
    </w:p>
    <w:p>
      <w:r>
        <w:t>Das SEM ist zu Recht in Anwendung von Art. 31a Abs. 1 Bst. b AsylG auf die Asylgesuche der Beschwerdeführerinnen nicht eingetreten. Die Beschwerde ist abzuweisen und die Verfügung des SEM zu bestätigen.</w:t>
      </w:r>
    </w:p>
    <w:p>
      <w:r>
        <w:rPr>
          <w:b/>
        </w:rPr>
        <w:t>E. 12</w:t>
      </w:r>
    </w:p>
    <w:p>
      <w:r>
        <w:t>Bei diesem Ausgang des Verfahrens wären die Kosten grundsätzlich den Beschwerdeführerinnen aufzuerlegen (Art. 63 Abs. 1 VwVG). Nachdem aber mit Zwischenverfügung vom 28.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