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D-1049/2022 vom 24. Februar 2022</w:t>
      </w:r>
    </w:p>
    <w:p>
      <w:r>
        <w:t>Bundesverwaltungsgericht, 2022-02-24, DE</w:t>
      </w:r>
    </w:p>
    <w:p>
      <w:r>
        <w:rPr>
          <w:b/>
        </w:rPr>
        <w:t xml:space="preserve">Quelle: </w:t>
      </w:r>
      <w:r>
        <w:t>https://mcp.opencaselaw.ch/entscheid/bvger_D-1049_2022_d20220224</w:t>
      </w:r>
    </w:p>
    <w:p>
      <w:r>
        <w:t>FR: TAF D-1049/2022 du 24 février 2022</w:t>
      </w:r>
    </w:p>
    <w:p>
      <w:r>
        <w:t>IT: TAF D-1049/2022 del 24 febbraio 2022</w:t>
      </w:r>
    </w:p>
    <w:p>
      <w:pPr>
        <w:pStyle w:val="Heading2"/>
      </w:pPr>
      <w:r>
        <w:t>Regeste</w:t>
      </w:r>
    </w:p>
    <w:p>
      <w:r>
        <w:t>Nichteintreten auf Asylgesuch und Wegweisung (Dublin-Verfahren) | Nichteintreten auf Asylgesuch und Wegweisung (Dublin-Verfahren); Verfügung des SEM vom 24. Februar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angefochtene Verfügung vom 24.Februar 2022 wird aufgehoben und die Sache im Sinne der Erwägungen zur vollständigen und richtigen Sachverhaltsabklärung sowie zur erneuten Beurteilung und Entscheidung an die Vorinstanz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Parteientschädigung ausgerichtet.</w:t>
      </w:r>
    </w:p>
    <w:p>
      <w:r>
        <w:rPr>
          <w:b/>
        </w:rPr>
        <w:t>E. 5</w:t>
      </w:r>
    </w:p>
    <w:p>
      <w:r>
        <w:t>Dieses Urteil geht an den Beschwerdeführer, das SEM und die kantonale Migrationsbehörde. Die Einzelrichterin: Der Gerichtsschreiber: Susanne Bolz-Reimann Jonas Perrin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