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D-1048/2014 vom 19. März 2014</w:t>
      </w:r>
    </w:p>
    <w:p>
      <w:r>
        <w:t>Bundesverwaltungsgericht, 2014-03-19, DE</w:t>
      </w:r>
    </w:p>
    <w:p>
      <w:r>
        <w:rPr>
          <w:b/>
        </w:rPr>
        <w:t xml:space="preserve">Quelle: </w:t>
      </w:r>
      <w:r>
        <w:t>https://mcp.opencaselaw.ch/entscheid/bvger_D-1048_2014</w:t>
      </w:r>
    </w:p>
    <w:p>
      <w:r>
        <w:t>FR: TAF D-1048/2014 du 19 mars 2014</w:t>
      </w:r>
    </w:p>
    <w:p>
      <w:r>
        <w:t>IT: TAF D-1048/2014 del 19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 bei den Akten nicht fest. Aus den Akten ist er­sichtlich, dass die vorinstanzliche Verfügung vom 19. Dezember 2013 von der Schweizerischen Vertretung in Colombo am 15. Januar 2014 versandt wurde. Im Weiteren steht fest, dass die Be­schwerdeeingabe am 20. Februar 2014 bei der Vertretung eintraf. Mangels Rückschein steht somit nicht mit Bestimmtheit fest, ob die eingereichte Be­schwer­de rechtzeitig erfolgt ist.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am 20. Februar 2014 bei der Schweizerischen Vertretung eingetroffene Beschwerde (vgl. Sach­verhalt Bst. H) rechtzeitig erfolgt ist.</w:t>
      </w:r>
    </w:p>
    <w:p>
      <w:r>
        <w:rPr>
          <w:b/>
        </w:rPr>
        <w:t>E. 1.5</w:t>
      </w:r>
    </w:p>
    <w:p>
      <w:r>
        <w:t>In der Regel weist sich der Rechtsvertreter durch schriftliche Vollmacht aus; ist dies, wie vorliegend, nicht der Fall, so kann das Bundesverwaltungsgericht den Vertreter auffordern, dies zu tun (vgl. Art 11 Abs. 2 VwVG). Im vorliegenden Verfahren kann aufgrund der Aktenlage aus prozessökonomischen Gründen darauf verzichtet werden, da sich die Mutter T.R. des Beschwerdeführers, welche im Namen ihres Sohnes Beschwerde erhoben hat, bereits im vorinstanzlichen Verfahren mehrere Eingaben mit dessen Kenntnis eingereicht hat (vgl. Sachverhalt Bst. C).</w:t>
      </w:r>
    </w:p>
    <w:p>
      <w:r>
        <w:rPr>
          <w:b/>
        </w:rPr>
        <w:t>E. 1.6</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oder ihr die Aufnahme in einem Drittstaat zugemutet werden kann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den nachstehenden Gründen ist die Einschätzung des BFM in der angefochtenen Verfügung, wonach sich aus den wesentlichen Vorbringen des Beschwerdeführers, nach seiner Haft fürchte er sich vor der Rache des damaligen Entführers seines Freundes und vor Übergriffen krimineller Unbekannten, keine asylrelevante Gefährdungssituation des Beschwerdeführers ergebe, zu bestätigen.</w:t>
      </w:r>
    </w:p>
    <w:p>
      <w:r>
        <w:rPr>
          <w:b/>
        </w:rPr>
        <w:t>E. 5.4</w:t>
      </w:r>
    </w:p>
    <w:p>
      <w:r>
        <w:t>Zum einen ist festzuhalten, dass das Vorbringen, Unbekannte in Zivil seien zu ihm nach Hause gekommen und hätten ihm verboten, irgendwohin zu gehen, ohne vorher die nächste Polizeistation darüber zu informieren, mangels Intensität nicht als asylrelevant zu erachten ist. Im Weiteren ist darauf hinzuweisen, dass der Beschwerdeführer ohne Auflagen aus der Haft entlassen wurde, was auf ein fehlendes Verfolgungsinteresse des sri-lankischen Staates schliessen lässt. Es gibt somit keine konkreten Anhaltspunkte für eine begründete Furcht des Beschwerdeführers vor künftiger Verfolgung. In diesem Zusammenhang ist im Weiteren auf die veränderte allgemeine Situation in Sri Lanka hinzuweisen. Nach Beendigung des Krieges und der endgültigen Niederlage der LTTE ist die Gefahr für den Beschwerdeführer,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ausgesetzt sind, kommt in­des aufgrund man­gelnder Intensität kein Ver­fol­gungscharakter im Sin­ne von Art. 3 AsylG zu. Zum anderen ist hinsichtlich der Furcht des Beschwerdeführers vor der Rache des damaligen Entführers seines Freundes und vor Übergriffen krimineller Unbekannter von der Schutzfähigkeit des sri-lankischen Staates auszugehen, weshalb grundsätzlich die Möglichkeit besteht, bei den zuständigen Behörden um Schutz vor Verfolgung seitens Dritter zu ersuchen. Vorliegend ergeben sich keine Anhaltspunkte auf eine Schutzunwilligkeit des sri-lankischen Staates, hat der Beschwerdeführer doch im Rahmen des vorinstanzlichen Verfahrens nicht geltend gemacht, vergeblich um behördlichen Schutz ersucht zu haben. Vielmehr konnte er die Entführung seines Freundes bei der Polizei zur Anzeige bringen. An dieser Einschätzung vermögen weder die Argumente in der Beschwerde, die sich in einer Wiederholung der bereits im Rahmen des vorinstanzlichen Verfahrens geltend gemachten Vorbringen erschöpfen, noch die im vor­instanzlichen Verfahren eingereichten Beweismittel, welche lediglich die nicht in Zweifel gezogenen Vorbringen stützen, nichts zu ändern. Schliesslich ist darauf hinzuweisen, dass der Beschwerdeführer über die Möglichkeit verfügt, sich allfälligen örtlichen Behelligungen durch einen Wegzug in einen anderen Teil Sri Lankas zu entziehen. So hat er sich nach eigenen Angaben von Juli 2008 bis Januar 2010 in Colombo bei einer Verwandten seiner Mutter aufgehalten und in deren Laden mitgearbeitet. Es ist ihm daher zuzumuten, allenfalls erneut in Colombo zu leben und sich dort eine wirtschaftliche Existenzgrundlage zu schaffen.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