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D-1032/2020 vom 9. April 2020</w:t>
      </w:r>
    </w:p>
    <w:p>
      <w:r>
        <w:t>Bundesverwaltungsgericht, 2020-04-09, DE</w:t>
      </w:r>
    </w:p>
    <w:p>
      <w:r>
        <w:rPr>
          <w:b/>
        </w:rPr>
        <w:t xml:space="preserve">Quelle: </w:t>
      </w:r>
      <w:r>
        <w:t>https://mcp.opencaselaw.ch/entscheid/bvger_D-1032_2020</w:t>
      </w:r>
    </w:p>
    <w:p>
      <w:r>
        <w:t>FR: TAF D-1032/2020 du 9 avril 2020</w:t>
      </w:r>
    </w:p>
    <w:p>
      <w:r>
        <w:t>IT: TAF D-1032/2020 del 9 aprile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1.3</w:t>
      </w:r>
    </w:p>
    <w:p>
      <w:r>
        <w:t>Im Beschwerdeverfahren ist die Sprache des angefochtenen Entscheids massgebend (vgl. Art. 33a Abs. 2 VwVG), weshalb das Verfahren vorliegend in deutscher Sprache geführt wird.</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Gestützt auf Art. 111a Abs.2 AsylG wurde auf einen Schriftenwechsel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abweisenden Verfügung führte die Vorinstanz aus, dass die Vorbringen den Anforderungen an die Flüchtlingseigenschaft gemäss Art. 3 AsylG nicht standhalten würden. Übergriffe durch Dritte oder Befürchtungen, künftig solchen ausgesetzt zu sein, seien nur dann asylrelevant,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Antragsteller Zugang zu diesem Schutz hätten. Des Weiteren seien Befürchtungen, künftig Verfolgungsmassnahmen ausgesetzt zu sein, nur dann asylrelevant, wenn begründeter Anlass zur Annahme bestehe, dass sich die Verfolgung mit beachtlicher Wahrscheinlichkeit und in absehbarer Zukunft verwirklichen würden. Schliesslich läge es ausserhalb der Möglichkeiten eines Staates, jeden Übergriff präventiv zu verhindern. Aus dieser Tatsache könne jedoch nicht geschlossen werden, dass das Ersuchen um staatlichen Schutz von vornherein ein nutzloses Unterfangen sei beziehungsweise die Sicherheitsbehörden in Kabul ihrer Schutzpflicht prinzipiell nicht nachkommen würden. Er habe angegeben, er habe sich nicht an die Behörden gewandt, da diese nichts unternehmen könnten respektive auf die Regierung selbst täglich Angriffe stattfinden würden. Weiter habe er ausgeführt, den Generälen und Behörden, die zu seiner Kundschaft gehört hätten, habe er ebenfalls nichts gesagt, da diese sonst ihre Fahrzeuge nicht mehr zu ihm gebracht hätten. Im Hinblick auf künftige Verfolgungsmassnahmen sei anzumerken, dass basierend auf seinen Angaben kein begründeter Anlass zur Annahme bestehe, dass sich eine Verfolgung mit beachtlicher Wahrscheinlichkeit oder in absehbarer Zukunft verwirklichen werde. So habe er zwar angegeben, zuletzt zwei Monate vor seiner Ausreise telefonisch bedroht worden zu sein. Den letzten Drohbrief habe er jedoch bereits ein Jahr nachdem er angeschossen worden sei, mithin vor ungefähr vier Jahren, erhalten und zu direkten Begegnungen sei es nach dem genannten Vorfall nicht mehr gekommen. Entsprechend habe er auch die Fragen verneint, ob er sich angesichts der Gefahr speziell verhalten habe beziehungsweise ob er etwas unternommen habe, um zu verhindern, dass er von den Taliban weiterhin angerufen oder aufgesucht werde. Erst als seine Rechtsvertretung ihn darauf angesprochen habe, dass er beim Vorgespräch erwähnt habe, gewisse Massnahmen getroffen zu haben, um weitere Telefonanrufe zu verhindern, habe er ausgesagt, er habe die Nummer gewechselt. Dazu befragt, weshalb er Afghanistan gerade vor rund vier Monaten verlassen habe, habe er zu Protokoll gegeben, er habe nachts aufgrund von Albträumen nicht schlafen können und die Bedrohungen hätten nicht aufgehört. Weitere Ereignisse, die zur Ausreise geführt hätten, habe er verneint und ferner dargelegt, die Lage in Kabul sei immer schlecht, deswegen sei er aber nicht ausgereist. Seinen Angaben seien somit keinerlei Hinweise zu entnehmen, dass sich die geltend gemachte Verfolgungssituation im Vorfeld seiner Ausreise verschärft hätte. Vielmehr sei er nicht in der Lage gewesen, nachvollziehbar darzulegen, weshalb er nach so vielen Jahren ohne direkte Begegnungen mit den Taliban befürchte, dass ihm diese in absehbarer Zukunft etwas antun könnten. Den von ihm eingereichten Beweismitteln sowie seinen Verletzungen respektive Narben komme hinsichtlich seiner Vorbringen geringer Beweiswert zu, da unklar sei, wie diese zustande gekommen seien. Bezüglich des Drohbriefes sei anzumerken, dass Dokumente dieser Art auch käuflich leicht zu erhalten seien. Folglich komme seinen Vorbringen keine Asylrelevanz im Sinne von Art. 3 AsylG zu. Angesichts der offensichtlich fehlenden Asylrelevanz könne darauf verzichtet werden, auf die vorhandenen Unglaubhaftigkeitselemente in seinen Vorbringen einzugehen. Es sei an dieser Stelle jedoch angemerkt, dass seine Darstellung des Sachverhalts in wesentlichen Teilen den Anforderungen an das Glaubhaftmachen nicht genüge. So habe er sich beispielsweise widersprüchlich geäussert indem er einerseits angegeben habe, er habe gewusst, dass es die Taliban seien, die ihn angerufen hätten, da diese ihm auch Drohbriefe geschickt hätten. Die Anrufer hätten ihren Namen nicht genannt. Andererseits habe er ausgeführt, er wisse, dass die Stempel auf den Briefen diejenigen der Taliban seien, da diese ihn angerufen und ihm gesagt hätten, dass es sich um ihre Briefe handle. Somit bestünden Zweifel hinsichtlich der Glaubhaftigkeit der Vorbringen.</w:t>
      </w:r>
    </w:p>
    <w:p>
      <w:r>
        <w:rPr>
          <w:b/>
        </w:rPr>
        <w:t>E. 4.2</w:t>
      </w:r>
    </w:p>
    <w:p>
      <w:r>
        <w:t>In seiner Rechtsmitteleingabe bringt der Beschwerdeführer unter Wiederholung seiner Vorbringen dagegen vor, dass seine Entführung, die Schussabgabe und alle Drohungen, welche er anschliessend erhalten habe, als relevant im Sinne von Art. 3 AsylG zu qualifizieren seien und zu einer begründeten Furcht vor Verfolgung führen würden. Die zunehmende Intensität und der Umstand, dass er ständig eingeschüchtert worden sei, hätten zu seiner Entscheidung geführt, sein Herkunftsland zu verlassen. Letztlich seien auch diejenigen, welche unerträglichem psychischen Druck ausgesetzt seien, als Flüchtlinge zu betrachten. Auch bei ihm hätten die Ereignisse in seinem Heimatland zu psychischen Problemen geführt, wie aus dem beiliegenden ärztlichen Attest hervorgehe. Ganz zu schweigen von den offensichtlichen Problemen mit dem Projektil, welches sich nach wie vor in seinem Nacken befinde und ihm unerträgliche Schmerzen bereite. Er habe zu sparen begonnen, damit er sich die Reise ins Ausland habe leisten können. Er sei auch zur Polizei gegangen, aber das Einzige, was ihm erlaubt worden sei, sei eine Waffe zu tragen. Insgesamt beruhe die Entscheidung der Vorinstanz auf einer ungenauen und unvollständigen Bewertung seiner Behauptungen, die sie nicht in ihrer Gesamtheit und in Bezug auf die politische Situation in seinem Heimatland analysiert habe, insbesondere im Hinblick auf die begründete Furcht vor Verfolgung.</w:t>
      </w:r>
    </w:p>
    <w:p>
      <w:r>
        <w:rPr>
          <w:b/>
        </w:rPr>
        <w:t>E. 5.1</w:t>
      </w:r>
    </w:p>
    <w:p>
      <w:r>
        <w:t>Nach Durchsicht der Akten kommt das Bundesverwaltungsgericht zum Schluss, dass die Vorinstanz das Asylgesuch des Beschwerdeführers zu Recht abgelehnt hat. Ihre Schlussfolgerungen sind weder in tatsächlicher noch in rechtlicher Hinsicht zu beanstanden.</w:t>
      </w:r>
    </w:p>
    <w:p>
      <w:r>
        <w:rPr>
          <w:b/>
        </w:rPr>
        <w:t>E. 5.2</w:t>
      </w:r>
    </w:p>
    <w:p>
      <w:r>
        <w:t>Der Beschwerdeführer macht als Vorfluchtgrund Bedrohungen seitens der Taliban geltend. Es handelt sich somit nicht um eine staatliche, sondern um eine private Verfolgung. Die Schweizerische Asylrekurskommission setzte sich in einem Grundsatzentscheid (EMARK [Entscheidungen und Mitteilungen der Schweizerischen Asylrekurskommission] 2006 Nr. 18) mit der nichtstaatlichen Verfolgung auseinander und prüfte die Anerkennung von nichtstaatlicher Verfolgung unter dem Blickwinkel des Wechsels von der Zurechenbarkeits- zur Schutztheorie eingehend und kam dabei zum Schluss, dass nichtstaatliche Verfolgung grundsätzlich flüchtlingsrechtlich relevant sei, wenn der davon betroffenen Person im Heimatland kein Schutz gewährt werden könne. Sodann ist gemäss Praxis des Bundesverwaltungsgerichts in Kabul grundsätzlich sowohl die Schutzwilligkeit als auch die Schutzfähigkeit der Behörden vor allfälligen Behelligungen seitens der Taliban zu bejahen (vgl. Urteil des BVGer E-7039/2015 vom 17. August 2016 E. 4.4.2 m.w.H.). Gründe für eine gegenteilige Annahme im konkreten Fall sind den Akten nicht zu entnehmen. Der Beschwerdeführer hat im vorinstanzlichen Verfahren angegeben, er habe sich wegen seiner Probleme mit den Taliban nie an die afghanischen Behörden gewandt, da Letztere gegen die Taliban nichts würden unternehmen können ([...]). Angesichts dessen ist es nun als nachgeschoben beziehungsweise unglaubhaft zu qualifizieren, wenn der Beschwerdeführer in seiner Rechtsmitteleingabe vorbringt, er sei zur Polizei gegangen, diese habe ihm jedoch lediglich erlaubt, eine Waffe zu tragen, zumal der Beschwerdeführer auch das Tragen einer Waffe implizit verneint hat ([...]). Schliesslich ist im Zusammenhang mit der Inanspruchnahme behördlichen Schutzes auch darauf hinzuweisen, dass in der Werkstatt des Beschwerdeführers Generäle und andere Regierungsmitglieder ihre Fahrzeuge reparieren liessen ([...]). Mithin ist davon auszugehen, dass er auch leichter Zugang zu einer allfälligen Schutzgewährung gehabt hätte, als der Durchschnittsbürger. Die Erklärung, er habe seinen Kunden nichts gesagt, weil diese sonst ihre Fahrzeuge nicht mehr zu ihm gebracht hätten ([...]), vermag nicht wirklich zu überzeugen, zumal die Generäle ihre Fahrzeuge immer wieder zu ihm gebracht hätten, weil sie ihn gekannt und ihm vertraut hätten ([...]). Der einzig mit der Annahme, dass die Behörden gar nichts würden ausrichten können, begründete Verzicht des Beschwerdeführers auf eine persönliche Kontaktierung der Sicherheitsbehörden vermag nicht eine effektiv fehlende Schutzfähigkeit oder einen mangelnden Schutzwillen der Behörden in Kabul auszuweisen. Dem Beschwerdeführer gelingt es mit seinen Ausführungen nicht darzulegen, die Behörden in Kabul hätten ihm den erforderlichen Schutz verweigert oder würden dies in Zukunft tun. Schliesslich hat die Vorinstanz im Hinblick auf allfällige künftige Verfolgungsmassnahmen zu Recht darauf hingewiesen, dass aufgrund der Angaben des Beschwerdeführers kein begründeter Anlass zur Annahme bestehe, diese würden sich mit beachtlicher Wahrscheinlichkeit und in absehbarer Zukunft verwirklichen. In diesem Zusammenhang ist vor allem darauf hinzuweisen, dass der zuletzt erlittene Übergriff mehrere Jahre zurückliegt. Es kann zwecks Vermeidung von Wiederholungen auf die zutreffenden Argumente der Vorinstanz verwiesen werden (vgl. E. 4.1).</w:t>
      </w:r>
    </w:p>
    <w:p>
      <w:r>
        <w:rPr>
          <w:b/>
        </w:rPr>
        <w:t>E. 5.3</w:t>
      </w:r>
    </w:p>
    <w:p>
      <w:r>
        <w:t>Zusammenfassend kann festgehalten werden, dass die durch den Beschwerdeführer angeführten Gründe für das Verlassen seines Heimatstaates keine Asylrelevanz zu entfalten vermögen. Die Vorinstanz hat das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Afghanistan lässt den Wegweisungsvollzug zum heutigen Zeitpunkt nicht als unzulässig erscheinen.</w:t>
      </w:r>
    </w:p>
    <w:p>
      <w:r>
        <w:rPr>
          <w:b/>
        </w:rPr>
        <w:t>E. 7.2.3</w:t>
      </w:r>
    </w:p>
    <w:p>
      <w:r>
        <w:t>Nach dem Gesagten ist der Vollzug der Wegweisung sowohl im Sinne der landes-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Gemäss dem als Referenzurteil publizierten Entscheids des Bundesverwaltungsgerichts D-5800/2016 vom 13. Oktober 2017 ist der Vollzug nach Kabul zumutbar, falls besonders begünstigende Faktoren vorliegen und die betroffene Person ausnahmsweise nicht in eine existenzbedrohende Lage geraten würde (E. 8.4.1). Solche begünstigenden Voraussetzungen könnten grundsätzlich namentlich dann gegeben sein, wenn es sich bei der rückkehrenden Person um einen jungen, gesunden Mann handle, welcher im Heimatland über ein soziales Netz verfüge, das ihn wieder aufnehmen könne und tragfähig sei, so dass er sich dort wieder eingliedern könne. Mithin müsse das soziale Netz in der Lage sein, ihm eine angemessene Unterkunft, die Grundversorgung und Hilfe zur sozialen und wirtschaftlichen Reintegration bieten zu können. Allein lose Kontakte zu Verwandten, Bekannten oder Mitgliedern der Kernfamilie würden insbesondere dann kein tragfähiges Netz darstellen, wenn das wirtschaftliche Fortkommen und die Unterbringung ungeklärt seien. Zurückhaltung bei der Bejahung eines tragfähigen sozialen Beziehungsnetzes sei auch geboten, wenn die betroffene Person lediglich im Sinne einer Aufenthaltsalternative nach Kabul zurückkehre und dort kaum oder nie gelebt habe. Entscheidrelevant sei ferner die Berufserfahrung der zurückkehrenden Person respektive die Frage, inwiefern eine wirtschaftliche Wiedereingliederung mit einer bezahlten Arbeit im Zusammenspiel mit dem Beziehungsnetz begünstigt werden könne. Der Beschwerdeführer hat vor seiner Ausreise rund zwanzig Jahre in Kabul gelebt ([...]) und bis zum Tag seiner Ausreise in seiner eigenen Autowerkstatt gearbeitet ([...]). Zwar hat er gemäss eigenen Angaben nie die Schule besucht und ist Analphabet ([...]) jedoch hat er mit seiner Autowerkstatt täglich (...) Dollar generiert ([...]). Von diesem Einkommen blieben ihm nach Abzug von Löhnen sowie Miete und anderen Ausgaben pro Tag ungefähr (...) Dollar übrig ([...]). Dies ist im afghanischen Kontext als überdurchschnittlich zu werten und auch der Beschwerdeführer selber bezeichnete diesen Lohn als gut im Vergleich zu anderen. Auch verfügt der Beschwerdeführer in Kabul nach wie vor über ein Beziehungsnetz: So leben dort seine Ehefrau, die (...) gelernt hat, sein Schwager, der als (...) arbeitet und gegenwärtig die Ehefrau und die Kinder finanziell unterstützt, sowie eine Schwester und deren berufstätiger Ehemann ([...]). Sodann hat der Beschwerdeführer im vorinstanzlichen Verfahren und auf Beschwerdeebene diverse Arztberichte zu den Akten gereicht, aus welchen sich im Wesentlichen die folgenden Diagnosen ergeben: Posttraumatische Belastungsstörung sowie der Verdacht auf eine mittelgradige depressive Episode ([...]) sowie Beschwerden aufgrund eines verbliebenen Projektils (...). Der Beschwerdeführer gab in diesem Zusammenhang gegenüber dem untersuchenden Arzt an, dass er seit der Schussverletzung vor allem nachts an (...)schmerzen leide und eine (...) sowie eine (...) ebenfalls (...) bestehe und die Schmerzen bei Angst und Kälte zunehmen würden ([...]). Auch unter Berücksichtigung der vorgängig genannten Beschwerden gelangt das Gericht zum Schluss, dass eine Überstellung des Beschwerdeführers nach Afghanistan der Zumutbarkeit des Wegweisungsvollzugs nicht entgegensteht. Aus den vorhandenen medizinischen Berichten geht nämlich nicht das Bild hervor, dass der Beschwerdeführer auf eine engmaschige medizinische und psychiatrische Betreuung angewiesen wäre. Die bisherige Behandlung erfolgte - soweit ersichtlich - rein medikamentös. Insofern der Arztbericht vom (...) den Beginn einer Psychotherapie empfiehlt, ist darauf zu verweisen, dass eine Behandlung psychischer Erkrankungen auch in Kabul möglich ist (vgl. Urteil des Bundesverwaltungsgerichts D-1247/2019 vom 13. Mai 2019 E. 5.2.2). Zudem ist den Arztberichten zu entnehmen, dass die geltend gemachten gesundheitlichen Beeinträchtigungen im Wesentlichen bereits bestanden, als der Beschwerdeführer noch in seinem Heimatstaat lebte und es sich um Folgen eines weit zurückliegenden Ereignisses handelt, was auch die Vorinstanz zutreffend erkannt hat. Es ist mithin nicht einzusehen, weshalb die gesundheitlichen Schwierigkeiten, mit denen der Beschwerdeführer über mehrere Jahre hinweg in Kabul gelebt hat, auf einmal eine Rückkehr dorthin verunmöglichen sollten. Insbesondere haben die geltend gemachten gesundheitlichen Schwierigkeiten der Berufsausübung in der Autowerkstatt offenbar nicht entgegengestanden. Insgesamt darf somit betreffend den Gesundheitszustand - entgegen den anderslautenden Beschwerdevorbringen - von einer günstigen Prognose ausgegangen werden, zumal der Beschwerdeführer die Möglichkeit hat, einen Medikamentenstock aus der Schweiz mitzunehmen, welcher zur Überbrückung in der Anfangszeit ausreichen sollte. Ergänzend kann sodann auf die Möglichkeit der medizinischen Rückkehrhilfe verwiesen werden (Art. 93 Abs. 1 Bst. c AsylG und Art. 73 ff., insbesondere Art. 75 der Asylverordnung 2 über Finanzierungsfragen vom 11. August 1999 [SR 142.312]). Angesichts der vorstehenden Erwägungen geht das Gericht auch davon aus, dass es dem Beschwerdeführer möglich sein wird, für die allenfalls anfallenden finanziellen Kosten einer medizinischen Behandlung aufzukommen.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Mit Zwischenverfügung vom 20. März 2020 wurde indessen sein Gesuch um Gewährung der unentgeltlichen Rechtspflege vorbehältlich des fristgemässen Nachreichens einer Fürsorgebestätigung gutgeheissen. Mit Eingabe vom 30. März 2020 (Poststempel) hat der Beschwerdeführer fristgerecht eine solche Bestätigung nachgereicht. Dementsprechend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