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D-1029/2024 vom 23. Februar 2024</w:t>
      </w:r>
    </w:p>
    <w:p>
      <w:r>
        <w:t>Bundesverwaltungsgericht, 2024-02-23, DE</w:t>
      </w:r>
    </w:p>
    <w:p>
      <w:r>
        <w:rPr>
          <w:b/>
        </w:rPr>
        <w:t xml:space="preserve">Quelle: </w:t>
      </w:r>
      <w:r>
        <w:t>https://mcp.opencaselaw.ch/entscheid/bvger_D-1029_2024</w:t>
      </w:r>
    </w:p>
    <w:p>
      <w:r>
        <w:t>FR: TAF D-1029/2024 du 23 février 2024</w:t>
      </w:r>
    </w:p>
    <w:p>
      <w:r>
        <w:t>IT: TAF D-1029/2024 del 23 febbraio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Der Beschwerdeführer ist als Verfügungsadressat zur Beschwerdefüh- rung legitimiert (Art. 105 AsylG i.V.m. Art. 37 VGG und Art. 48 Abs. 1 VwVG). Auf die frist- und formgerecht eingereichte Beschwerde ist daher einzutreten (Art. 108 Abs. 3 AsylG;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t>D-1029/2024 Seite 5</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 scher Begründung, zu behandeln ist (Art. 111a Abs. 1 und 2 AsylG).</w:t>
      </w:r>
    </w:p>
    <w:p>
      <w:r>
        <w:rPr>
          <w:b/>
        </w:rPr>
        <w:t>E. 4.1</w:t>
      </w:r>
    </w:p>
    <w:p>
      <w:r>
        <w:t>Der Beschwerdeführer macht in der Beschwerde Verfahrensfehler be- ziehungsweise eine Verletzung des rechtlichen Gehörs geltend und führt aus, seine Rechtsvertretung sei weder beim Gespräch anwesend gewesen noch sei er ausreichend auf das Gespräch vorbereitet und über das Dublin- System informiert worden. Ausserdem habe es sich um ein «Remote-Ver- fahren» gehandelt, was die Verständigung zusätzlich erschwert habe. Aus dem Protokoll gehe hervor, dass vereinbart worden sei, dass er sich im Anschluss an das Gespräch bei HEKS melden solle, falls er noch Fragen hätte. Aus dem Protokoll werde auch ersichtlich, dass er in keiner Weise (weder von der Rechtsvertretung, die er vor dem Dublin-Gespräch nie ge- sehen habe, noch von der Befragerin [recte: vom Befrager] des SEM) über das Dublin-Gespräch informiert worden sei, geschweige denn über seine Rechte auf Anwesenheit der Rechtsvertretung. Der im Protokoll notierte Verzicht könne deshalb nicht als Verzicht im Sinne der von der Rechtspre- chung verlangten Anforderungen gesehen werden.</w:t>
      </w:r>
    </w:p>
    <w:p>
      <w:r>
        <w:rPr>
          <w:b/>
        </w:rPr>
        <w:t>E. 4.2.1</w:t>
      </w:r>
    </w:p>
    <w:p>
      <w:r>
        <w:t>Gemäss Rechtsprechung ist die Anwesenheit der Rechtsvertretung am Dublin-Gespräch nicht zwingend, da dieses entgegen der in der Be- schwerde ausführlich begründeten Annahme keine Erstbefragung im Rah- men der Vorbereitungsphase darstellt (vgl. Art. 102k Abs. 1 Bst. b AsylG; Art. 26b AsylG i.V.m. Art. 20b Abs. 1 der Asylverordnung 1 über Verfah- rensfragen vom 11. August 1999 [AsylV 1, SR 142.311]). Die Teilnahme der zugewiesenen Rechtsvertretung am Dublin-Gespräch kann zur wirksa- men Interessenvertretung im Asylverfahren im Einzelfall zwar notwendig sein, der Entscheid über die Notwendigkeit obliegt jedoch der Rechtsver-</w:t>
      </w:r>
    </w:p>
    <w:p>
      <w:r>
        <w:t>D-1029/2024 Seite 6 tretung, wobei deren Nicht-Teilnahme bei rechtzeitiger Mitteilung des Ter- mins die Rechtswirkung der Verfahrensschritte nicht hemmt (vgl. Art. 102j Abs. 2 AsylG; vgl. zum Ganzen das Urteil des BVGer E-5608/2022 vom 31. Mai 2023 E. 4 und 5 m.w.H. [zur Publikation vorgesehen]).</w:t>
      </w:r>
    </w:p>
    <w:p>
      <w:r>
        <w:rPr>
          <w:b/>
        </w:rPr>
        <w:t>E. 4.2.2</w:t>
      </w:r>
    </w:p>
    <w:p>
      <w:r>
        <w:t>Vorliegend teilte das SEM der Rechtsvertretung den Termin für das Dublin-Gespräch vom 5. Dezember 2023 am 30. November 2023 – und damit rechtzeitig – mindestens zwei Arbeitstage vor dessen Durchführung – (vgl. Art. 52c Abs. 2 AsylV 1; vgl. SEM-act. […]-11/2) – mit. Die Rechts- vertretung verzichtete aus Kapazitätsgründen auf eine Teilnahme, was dem Beschwerdeführer zu Beginn des Dublin-Gesprächs mitgeteilt wurde. Damit wurde der in Frage stehende Verfahrensschritt (Dublin-Gespräch) grundsätzlich gesetzeskonform durchgeführt und entfaltet seine Rechtswir- kung – dies obschon der Beschwerdeführer sein anlässlich des Dublin-Ge- sprächs erfolgtes Einverständnis, das Gespräch ohne seine Rechtsvertre- tung zu führen, nunmehr in der Beschwerde nicht als gültigen Verzicht auf Anwesenheit seiner Rechtsvertretung gewertet haben möchte.</w:t>
      </w:r>
    </w:p>
    <w:p>
      <w:r>
        <w:rPr>
          <w:b/>
        </w:rPr>
        <w:t>E. 4.2.3</w:t>
      </w:r>
    </w:p>
    <w:p>
      <w:r>
        <w:t>Aus dem Protokoll des Dublin-Gesprächs ergeben sich sodann keine Hinweise, die darauf schliessen liessen, der Beschwerdeführer sei nicht in der Lage gewesen, das Gespräch sinnvoll zu führen und seine Einwände adäquat darzulegen. Er bestätige denn auch, dass er die Aussagen ver- standen habe und das im Protokoll Festgehaltene seinen freien Äusserun- gen entspreche (vgl. SEM-act. […]-13/2). Das Protokoll des Gesprächs wurde nach Abschluss desselben am 5. Dezember 2023 der Rechtsvertre- tung des Beschwerdeführers zugestellt (vgl. SEM-act. […]-15/1). Diese er- hob in der Folge keine Einwände und mit der Niederlegung ihres Mandates am 13. Februar 2024 – mithin über zwei Monate nach dem Gesprächster- min und am Tag der Eröffnung der angefochtenen Verfügung – brachte sie zum Ausdruck, dass sie keine Einwände gegen die angefochtene Verfü- gung zu erheben gedenkt. Im Weiteren ist der angefochtenen Verfügung nicht zu entnehmen, dass das SEM Aussagen des Beschwerdeführers an- lässlich des Dublin-Gesprächs zu dessen Nachteil verwendet hätte. Auch wird mit den Einwänden in der Beschwerde nichts geltend gemacht, was der Beschwerdeführer nicht schon zumindest sinngemäss anlässlich des Dublin-Gesprächs vorgetragen hat. Im Übrigen ist zwar die Frage, ob ein «Remote-Verfahren» im Dublin-Verfahren überhaupt zulässig ist, umstrit- ten, weshalb das SEM eingeladen wird, bis zum Erlass eines Leiturteils zu dieser Thematik auf diese Vorgehensweise zu verzichten (vgl. auch die Zwischenverfügungen F-5629/2023 vom 20. Oktober 2023 und F- 3250/2023 vom 30. Juni 2023). Im konkreten Fall würde allerdings eine</w:t>
      </w:r>
    </w:p>
    <w:p>
      <w:r>
        <w:t>D-1029/2024 Seite 7 allfällige Kassation der angefochtenen Verfügung offensichtlich zu einem prozessökonomischen Leerlauf führen.</w:t>
      </w:r>
    </w:p>
    <w:p>
      <w:r>
        <w:rPr>
          <w:b/>
        </w:rPr>
        <w:t>E. 4.2.4</w:t>
      </w:r>
    </w:p>
    <w:p>
      <w:r>
        <w:t>Vor diesem Hintergrund besteht kein Anlass, auf die Einwände in der Beschwerde, wonach das SEM den rechtserheblichen Sachverhalt nicht vollständig erstellt und das rechtliche Gehör verletzt habe, weiter einzuge- hen. Beides trifft nicht zu. Das Eventualbegehren, es sei die angefochtene Verfügung zu kassieren und der Fall an die Vorinstanz zur erneuten Sach- verhaltsfeststellung und zur erneuten Beurteilung zurückzuweisen, ist ab- zuweisen.</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 hier interessierenden – Wiederaufnahmeverfahrens (Art. 23–25 Dublin- III-VO) findet grundsätzlich keine (neue) Zuständigkeitsprüfung nach Kapi- tel III Dublin-III-VO mehr statt. Die Zuständigkeit beziehungsweise die Ver- pflichtung des Mitgliedstaates zur Wiederaufnahme ergibt sich direkt aus Art. 18 Abs. 1 Bst. b–d beziehungsweise Art. 20 Abs. 5 Dublin-III-VO (vgl. Urteil des Europäischen Gerichtshofs [EuGH; Grosse Kammer] vom 2. Ap- ril 2019, Staatssecretaris van Veiligheid en Justitie gegen H. und R., C-582/17 und C-583/17, Rn. 47–50; BVGE 2019 VI/7 E. 4-6, 2017 VI/5 E. 6.2 und E. 8.2.1 m.H.).</w:t>
      </w:r>
    </w:p>
    <w:p>
      <w:r>
        <w:t>D-1029/2024 Seite 8</w:t>
      </w:r>
    </w:p>
    <w:p>
      <w:r>
        <w:rPr>
          <w:b/>
        </w:rPr>
        <w:t>E. 5.3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EU-Grundrechtecharta (GRC; ABl. C 364/1 vom 18. Dezember 2000)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5.4</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sog. Selbsteintritts- recht). Dieses Selbsteintrittsrecht wird im Landesrecht durch Art. 29a Abs. 3 AsylV 1 konkretisiert. Gemäss dieser Bestimmung kann das SEM das Asylgesuch «aus humanitären Gründen» auch dann behandeln, wenn dafür gemäss Dublin-III-VO ein anderer Staat zuständig wäre. Liegen indi- viduelle völkerrechtliche Überstellungshindernisse vor, ist der Selbsteintritt zwingend (vgl. BVGE 2015/9 E. 8.2.1).</w:t>
      </w:r>
    </w:p>
    <w:p>
      <w:r>
        <w:rPr>
          <w:b/>
        </w:rPr>
        <w:t>E. 6</w:t>
      </w:r>
    </w:p>
    <w:p>
      <w:r>
        <w:t>Der Abgleich der Fingerabdrücke des Beschwerdeführers in der Eurodac- Datenbank ergab, dass er am 22. Juni 2023 (und zuvor schon am 19. Au- gust 2021) in Frankreich ein Asylgesuch eingereicht hatte. Anlässlich des Dublin-Gesprächs bestätigte er dies. Die französischen Behörden stimm- ten dem Wiederaufnahmeersuchen des SEM am 11. Januar 2024 gestützt auf Art. 18 Abs. 1 Bst. d Dublin-III-VO zu. Die Zuständigkeit Frankreichs für das weitere Verfahren ist somit grundsätzlich gegeben.</w:t>
      </w:r>
    </w:p>
    <w:p>
      <w:r>
        <w:rPr>
          <w:b/>
        </w:rPr>
        <w:t>E. 7</w:t>
      </w:r>
    </w:p>
    <w:p>
      <w:r>
        <w:t>Frankreich ist Signatarstaat der EMRK, des Übereinkommens vom 10. De- zember 1984 gegen Folter und andere grausame, unmenschliche oder er- niedrigende Behandlung oder Strafe (FoK, SR 0.105), des Abkommens vom 28. Juli 1951 über die Rechtsstellung der Flüchtlinge (FK, SR 0.142.30) und des Zusatzprotokolls der FK vom 31. Januar 1967 (SR 0.142.301) und kommt seinen diesbezüglichen völkerrechtlichen Ver- pflichtungen nach. Es darf davon ausgegangen werden, dieser Staat</w:t>
      </w:r>
    </w:p>
    <w:p>
      <w:r>
        <w:t>D-1029/2024 Seite 9 anerkenne und schütze die Rechte, die sich für Schutzsuchende aus den Richtlinien des Europäischen Parlaments und des Rates 2013/32/EU vom 26. Juni 2013 zu gemeinsamen Verfahren für die Zuerkennung und Aber- kennung des internationalen Schutzes (sog. Verfahrensrichtlinie) sowie 2013/33/EU vom 26. Juni 2013 zur Festlegung von Normen für die Auf- nahme von Personen, die internationalen Schutz beantragen (sog. Aufnah- merichtlinie), ergeben. Nach ständiger Rechtsprechung des Bundesver- waltungsgerichts weist das Asylverfahren in Frankreich keine systemi- schen Schwachstellen im Sinne von Art. 3 Abs. 2 Dublin-III-VO auf (vgl. zu- letzt etwa die Urteile des BVGer D-6755/2023 vom 13. Dezember 2023 E. 5.2, F-6666/2023 vom 11. Dezember 2023 E. 6, D-6572/2023 vom 1. Dezember 2023 E. 9). Die Anwendung von Art. 3 Abs. 2 Dublin-III-VO fällt somit nicht in Betracht.</w:t>
      </w:r>
    </w:p>
    <w:p>
      <w:r>
        <w:rPr>
          <w:b/>
        </w:rPr>
        <w:t>E. 8.1</w:t>
      </w:r>
    </w:p>
    <w:p>
      <w:r>
        <w:t>Im Rahmen des Dublin-Systems gilt sodann die Vermutung, dass alle Mitgliedstaaten des Dublin-Raums ihren völkerrechtlichen Verpflichtungen nachkommen. Diese Vermutung kann jedoch durch ernsthafte Hinweise darauf, dass die Behörden des zuständigen Dublin-Staats im konkreten Fall das internationale Recht nicht respektieren, widerlegt werden (vgl. BVGE 2010/40 E. 7.4 f.). Dies gelingt dem Beschwerdeführer nicht. Allein aus dem Umstand, dass die französischen Asylbehörden sein Asylgesuch offenbar bereits abgelehnt haben, lässt sich nicht ableiten, deren Entscheid sei nicht im Rahmen eines rechtsstaatlich korrekten Verfahrens ergangen. Es liegen auch keine Anhaltspunkte vor, die darauf schliessen lassen, Frankreich habe im Falle des Beschwerdeführers den Grundsatz des Non- Refoulement gemäss Art. 33 FK und Art. 3 EMRK nicht beachtet und be- absichtige, ihn nach Afghanistan zurückzuschaffen, ohne geprüft zu haben, ob ihm dort flüchtlingsrechtlich relevante Verfolgung oder eine menschen- rechtswidrige Behandlung drohen würde. Der Beschwerdeführer hat im Übrigen die Möglichkeit, den französischen Behörden allfällige Wiederauf- nahme- oder Wiedererwägungsgründe im Rahmen eines Folgeantrags nach Art. 40 Verfahrensrichtlinie zu unterbreiten und auf diese Weise eine erneute Überprüfung des negativen Entscheides zu bewirken.</w:t>
      </w:r>
    </w:p>
    <w:p>
      <w:r>
        <w:rPr>
          <w:b/>
        </w:rPr>
        <w:t>E. 8.2</w:t>
      </w:r>
    </w:p>
    <w:p>
      <w:r>
        <w:t>Entgegen der in der Beschwerde unter Verweis auf verschiedene Län- derberichte erhobenen Behauptungen die Unterbringung und die medizini- sche Versorgung betreffend gibt es auch keinen Grund zur Annahme, die ihn bei einer Rückführung erwartenden Bedingungen in Frankreich seien derart schlecht, dass sie zu einer Verletzung von Art. 4 der EU-Grund- rechtecharta, Art. 3 EMRK oder Art. 3 FoK führen könnten. Der</w:t>
      </w:r>
    </w:p>
    <w:p>
      <w:r>
        <w:t>D-1029/2024 Seite 10 Beschwerdeführer hat auch keine konkreten Hinweise für die Annahme dargetan, Frankreich würde ihm dauerhaft die ihm gemäss Aufnahmericht- linie zustehenden minimalen Lebensbedingungen vorenthalten. Bei einer allfälligen vorübergehenden Einschränkung könnte er sich im Übrigen nö- tigenfalls an die dortigen Behörden wenden und die ihm zustehenden Auf- nahmebedingungen auf dem Rechtsweg einfordern (vgl. Art. 26 Aufnah- merichtlinie). Dass er dies während seines bisherigen Aufenthalts in Frank- reich erfolglos zu tun versucht hat, erwähnte er im Dublin-Gespräch nicht, und solches macht er auch in der Beschwerde nicht substantiiert geltend. Der Beschwerdeführer leidet – jedenfalls ergibt sich aus den Akten nichts Gegenteiliges – zudem an keinen schwerwiegenden gesundheitlichen Be- einträchtigungen, welche bei einer Überstellung nach Frankreich zu einer Verletzung von Art. 3 EMRK führen könnten. Frankreich verfügt zudem über eine fortschrittliche medizinische Infrastruktur und ist gemäss Art. 19 Abs. 1 und 2 der Aufnahmerichtlinie verpflichtet, dem Beschwerdeführer bei Bedarf die erforderliche medizinische Behandlung allfälliger gesund- heitlicher Probleme zukommen zu lassen.</w:t>
      </w:r>
    </w:p>
    <w:p>
      <w:r>
        <w:rPr>
          <w:b/>
        </w:rPr>
        <w:t>E. 8.3</w:t>
      </w:r>
    </w:p>
    <w:p>
      <w:r>
        <w:t>Angesichts der vorstehenden Erwägungen erübrigt es sich, auf die Ausführungen in der Beschwerde die Unterbringung und die medizinische Versorgung betreffend ausführlicher einzugehen. Der Subeventualantrag, die Vorinstanz sei anzuweisen, von den zuständigen Behörden seien Zusi- cherungen einzuholen, dass (dem Beschwerdeführer) ab dem Zeitpunkt der Ankunft in Frankreich umgehend Obdach, Nahrung und eine adäquate und regelmässige medizinische sowie psychologische Behandlung zur Verfügung stehe, ist abzuweisen.</w:t>
      </w:r>
    </w:p>
    <w:p>
      <w:r>
        <w:rPr>
          <w:b/>
        </w:rPr>
        <w:t>E. 8.4</w:t>
      </w:r>
    </w:p>
    <w:p>
      <w:r>
        <w:t>Die angefochtene Verfügung ist schliesslich auch hinsichtlich der Prü- fung der humanitären Gründe nicht zu beanstanden. Das SEM verfügt pra- xisgemäss bei der Anwendung von Art. 29a Abs. 3 AsylV 1 über einen Er- messensspielraum (vgl. BVGE 2015/9 E. 7 f.). Das Gericht beschränkt seine Beurteilung im Wesentlichen darauf, ob das SEM den Sachverhalt diesbezüglich korrekt und vollständig erhoben, allen wesentlichen Umstän- den Rechnung getragen und seinen Ermessensspielraum genutzt hat (vgl. Art. 106 Abs. 1 Bst. a und b AsylG). Dies ist hier der Fall.</w:t>
      </w:r>
    </w:p>
    <w:p>
      <w:r>
        <w:rPr>
          <w:b/>
        </w:rPr>
        <w:t>E. 8.5</w:t>
      </w:r>
    </w:p>
    <w:p>
      <w:r>
        <w:t>Zusammenfassend ergibt sich, dass kein Grund für eine zwingende An- wendung des Selbsteintrittsrechts von Art. 17 Dublin-III-VO ersichtlich ist. Auch ist den Akten nicht zu entnehmen, dass das SEM sein Ermessen bei der Prüfung von allfälligen Überstellungshindernissen im Sinne von Art. 29a Abs. 3 AsylV 1 nicht korrekt ausgeübt hätte. Somit bleibt</w:t>
      </w:r>
    </w:p>
    <w:p>
      <w:r>
        <w:t>D-1029/2024 Seite 11 Frankreich der für die Behandlung des Asylgesuchs des Beschwerdefüh- rers zuständige Mitgliedstaat gemäss Dublin-III-VO.</w:t>
      </w:r>
    </w:p>
    <w:p>
      <w:r>
        <w:rPr>
          <w:b/>
        </w:rPr>
        <w:t>E. 9</w:t>
      </w:r>
    </w:p>
    <w:p>
      <w:r>
        <w:t>Das SEM ist demnach zu Recht in Anwendung von Art. 31a Abs. 1 Bst. b AsylG auf das Asylgesuch des Beschwerdeführers nicht eingetreten und hat – weil er nicht im Besitz einer gültigen Aufenthalts- oder Niederlas- sungsbewilligung ist – in Anwendung von Art. 44 AsylG die Überstellung nach Frankreich angeordnet (Art. 32 Bst. a AsylV 1). Die angefochtene Verfügung verletzt demnach kein Bundesrecht (Art. 106 Abs. 1 AsylG). Die Beschwerde ist abzuweisen.</w:t>
      </w:r>
    </w:p>
    <w:p>
      <w:r>
        <w:rPr>
          <w:b/>
        </w:rPr>
        <w:t>E. 10.1</w:t>
      </w:r>
    </w:p>
    <w:p>
      <w:r>
        <w:t>Die verfahrensrechtlichen Anträge, es seien im Sinne vorsorglicher Massnahmen die aufschiebende Wirkung zu erteilen und die Vollzugsbe- hörden anzuweisen, von einer Überstellung nach Frankreich abzusehen, bis das Bundesverwaltungsgericht über die vorliegende Beschwerde ent- schieden habe, werden mit dem vorliegenden Urteil ebenso gegenstands- los, wie das Gesuch um Verzicht auf die Erhebung eines Kostenvorschus- ses.</w:t>
      </w:r>
    </w:p>
    <w:p>
      <w:r>
        <w:rPr>
          <w:b/>
        </w:rPr>
        <w:t>E. 10.2</w:t>
      </w:r>
    </w:p>
    <w:p>
      <w:r>
        <w:t>Das Gesuch um Gewährung der unentgeltlichen Prozessführung ist abzuweisen, da die Begehren – wie sich aus den vorstehenden Erwägun- gen ergibt – als aussichtslos zu bezeichnen sind (Art. 65 Abs. 1 VwVG).</w:t>
      </w:r>
    </w:p>
    <w:p>
      <w:r>
        <w:rPr>
          <w:b/>
        </w:rPr>
        <w:t>E. 10.3</w:t>
      </w:r>
    </w:p>
    <w:p>
      <w:r>
        <w:t>Bei diesem Ausgang des Verfahrens sind die Kosten desselben dem Beschwerdeführer aufzuerlegen (Art. 63 Abs. 1 VwVG) und auf insgesamt Fr. 750.– festzusetzen (Art. 1–3 des Reglements vom 21. Februar 2008 über die Kosten und Entschädigungen vor dem Bundesverwaltungsgericht [VGKE, SR 173.320.2]). (Dispositiv nächste Seite)</w:t>
      </w:r>
    </w:p>
    <w:p>
      <w:r>
        <w:t>D-1029/2024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