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D-1026/2008 vom 19. Februar 2010</w:t>
      </w:r>
    </w:p>
    <w:p>
      <w:r>
        <w:t>Bundesverwaltungsgericht, 2010-02-19, DE</w:t>
      </w:r>
    </w:p>
    <w:p>
      <w:r>
        <w:rPr>
          <w:b/>
        </w:rPr>
        <w:t xml:space="preserve">Quelle: </w:t>
      </w:r>
      <w:r>
        <w:t>https://mcp.opencaselaw.ch/entscheid/bvger_D-1026_2008</w:t>
      </w:r>
    </w:p>
    <w:p>
      <w:r>
        <w:t>FR: TAF D-1026/2008 du 19 février 2010</w:t>
      </w:r>
    </w:p>
    <w:p>
      <w:r>
        <w:t>IT: TAF D-1026/2008 del 19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der Beschwerdeführer in seiner Eingabe vom 18. Feb-ruar 2008 lediglich den Vollzug der Wegweisung angefochten hat und die Verfügung des BFM somit bezüglich der Frage der Flüchtlingsei-genschaft, des Asyls und der Wegweisung in Rechtskraft erwachsen ist, bildet Gegenstand des vorliegenden Beschwerdeverfahrens ledig-lich die Frage, ob das BFM - vor dem Hintergrund der heutigen Ver-hältnisse im Nordirak - zu Recht den Wegweisungsvollzug als zuläs-sig, zumutbar und möglich erkannt hat.</w:t>
      </w:r>
    </w:p>
    <w:p>
      <w:r>
        <w:rPr>
          <w:b/>
        </w:rPr>
        <w:t>E. 4.1</w:t>
      </w:r>
    </w:p>
    <w:p>
      <w:r>
        <w:t>Das BFM führte in seinem ablehnenden Entscheid aus, der Vollzug der Wegweisung des Beschwerdeführers sei zulässig, da er die Flüchtlingseigenschaft nicht erfülle und somit auch das Refoulement-Verbot nicht angewandt werden könne. Ferner ergäben sich aus den Akten keine Anhaltspunkte dafür, dass ihm in seinem Heimatstaat mit beachtlicher Wahrscheinlichkeit eine durch Art. 3 der Konvention vom 4. November 1950 zum Schutze der Menschenrechte und Grundfreiheiten (EMRK, SR 0.101) verbotene Strafe oder Behandlung drohe. In den drei von der kurdischen Regionalregierung kontrollierten Provin-zen Dohuk, Erbil und Suleimaniya herrsche sodann aufgrund der Si-cherheits- und Menschenrechtslage keine Situation allgemeiner Ge-walt, weshalb der Wegweisungsvollzug grundsätzlich zumutbar sei. Zudem sprächen auch keine individuellen Gründe gegen die Zumutbarkeit des Wegweisungsvollzuges. Der Beschwerdeführer verfüge über eine Grundschulbildung und berufliche Erfahrung im Militärbe-reich und seine Nächstverwandten wohnten in Dohuk. Schliesslich sei der Vollzug der Wegweisung technisch möglich und praktisch durch-führbar.</w:t>
      </w:r>
    </w:p>
    <w:p>
      <w:r>
        <w:rPr>
          <w:b/>
        </w:rPr>
        <w:t>E. 4.2</w:t>
      </w:r>
    </w:p>
    <w:p>
      <w:r>
        <w:t>In seiner Beschwerde verwies der Beschwerdeführer im Wesentlichen auf die allgemein schlechte Sicherheitslage im Nordirak. Es sei im Jahr 2007 zu verschiedenen Anschlägen gekommen. Das anste-hende Referendum in Kirkuk lasse eine weitere Eskalation der Sicher-heitslage befürchten. Der Konflikt zwischen der Türkei und den kurdi-schen Rebellen in der Grenzregion zum Irak werde zur Destabilisie-rung der Situation führen. Die politische und humanitäre Situation vor Ort habe sich laut UNO und anderer Organisationen nicht nachhaltig stabilisiert.</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Nachdem die Verfü-gung vom 22. Januar 2008, was die Verneinung der Flüchtlingseigen-schaft betrifft, unangefochten in Rechtskraft erwachsen ist,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nicht gelungen, wurden doch seine Vorbringen von der Vorinstanz als unglaubhaft qualifiziert, ohne dass er dies angefochten hätte. Auch die allgemeine Sicherheits- und Menschenrechtslage in den drei Nordprovinzen des Irak (Dohuk, Erbil und Sulaimaniya) lässt den Wegweisungsvollzug an den Her-kunftsort des Beschwerdeführers - entgegen den Ausführungen in der Beschwerde - im heutigen Zeitpunkt nicht als unzulässig erscheinen (vgl. dazu BVGE 2008/4; UK Home Office, Country of Origin Informa-tion Report vom 16. September 2009 über die Kurdistan Regional Go-vernment Area of Iraq).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Das Bundesverwaltungsgericht geht nach einer umfassenden Beurteilung der aktuellen Situation in den drei nordirakischen Provinzen Dohuk, Sulaimaniya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und dort nach wie vor über ein soziales Netz oder Parteibeziehungen verfügen, zu-mutbar ist. Auf der anderen Seite soll die Zumutbarkeit des Wegwei-sungsvollzuges für alleinstehende Frauen und für Familien mit Kin-dern, sowie für Kranke und Betagte nur mit grosser Zurückhaltung be-jaht werden (vgl. BVGE 2008/5 E. 7.5 und insbesondere 7.5.8, S. 65 ff.).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w:t>
      </w:r>
    </w:p>
    <w:p>
      <w:r>
        <w:rPr>
          <w:b/>
        </w:rPr>
        <w:t>E. 5.4.2</w:t>
      </w:r>
    </w:p>
    <w:p>
      <w:r>
        <w:t>An dieser Lageeinschätzung vermag der pauschale Hinweis des Beschwerdeführers auf die schlechte Sicherheitslage im Nordirak nichts zu ändern. Die im erwähnten Urteil vorgenommene Lageeinschätzung basiert auf einer grossen Zahl von Berichten verschiedener Organisationen, darunter namentlich auch des UNHCR (vgl. die Quel-lenangabe in BVGE 2008/5 E. 7.4 S. 65).</w:t>
      </w:r>
    </w:p>
    <w:p>
      <w:r>
        <w:rPr>
          <w:b/>
        </w:rPr>
        <w:t>E. 5.4.3</w:t>
      </w:r>
    </w:p>
    <w:p>
      <w:r>
        <w:t>Der alleinstehende, heute 24-jährige Beschwerdeführer ist ethni-scher Kurde und lebte seit seiner Geburt bis zur Ausreise - abgese-hen von einem vierjährigen Aufenthalt im Iran - im Distrikt Amedi in der Provinz Dohuk und arbeitete lange Zeit im Militärbereich, dabei un-ter anderem für die KDP. Demnach ist davon auszugehen, dass er in Dohuk über ein soziales Beziehungsnetz und insbesondere auch über Beziehungen zur KDP verfügt. Aufgrund der Akten kann im Weiteren auch vom Bestehen eines intakten familiären Beziehungsnetzes ausgegangen werden. So wohnten gemäss seinen Aussagen im Zeitpunkt seiner Ausreise seine Grossmutter und seine Schwester in Z._______ und ein Cousin in Y._______. Der Beschwerdeführer hat gemäss Aktenlage keine gesundheitlichen Probleme und verfügt über eine sieben- bis achtjährige Schulbildung sowie sechsjährige berufliche Erfahrung im Militärbereich. Gestützt auf diese Erwägungen ist davon auszugehen, dass es ihm trotz der angespannten Arbeitsmarktlage im Nordirak gelingen wird, sich dort innert nützlicher Frist eine wirtschaftliche Existenzgrundlage aufzubauen. Zur Überbrückung der voraussichtlichen Anfangsschwierigkeiten kann der Beschwerdeführer beim BFM Rückkehrhilfe beantragen. Insgesamt ist daher nicht davon auszugehen, dass der Beschwerdeführer bei einer Rückkehr in die Provinz Dohuk aus individuellen Gründen wirtschaftlicher, sozialer oder gesundheitlicher Natur in eine existenzbedrohende Situation geraten würde.</w:t>
      </w:r>
    </w:p>
    <w:p>
      <w:r>
        <w:rPr>
          <w:b/>
        </w:rPr>
        <w:t>E. 5.4.4</w:t>
      </w:r>
    </w:p>
    <w:p>
      <w:r>
        <w:t>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hat die Vorinstanz den Vollzug der Wegweisung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Mit Zwi-schenverfügung vom 22. Februar 2008 wurde jedoch das Gesuch des Beschwerdeführers um Gewährung der unentgeltlichen Rechtspflege im Sinne von Art. 65 Abs. 1 VwVG gutgeheissen, weshalb auf Verfah-renskosten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