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D-1020/2023 vom 27. Februar 2023</w:t>
      </w:r>
    </w:p>
    <w:p>
      <w:r>
        <w:t>Bundesverwaltungsgericht, 2023-02-27, DE</w:t>
      </w:r>
    </w:p>
    <w:p>
      <w:r>
        <w:rPr>
          <w:b/>
        </w:rPr>
        <w:t xml:space="preserve">Quelle: </w:t>
      </w:r>
      <w:r>
        <w:t>https://mcp.opencaselaw.ch/entscheid/bvger_D-1020_2023</w:t>
      </w:r>
    </w:p>
    <w:p>
      <w:r>
        <w:t>FR: TAF D-1020/2023 du 27 février 2023</w:t>
      </w:r>
    </w:p>
    <w:p>
      <w:r>
        <w:t>IT: TAF D-1020/2023 del 27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m.H.).</w:t>
      </w:r>
    </w:p>
    <w:p>
      <w:r>
        <w:rPr>
          <w:b/>
        </w:rPr>
        <w:t>E. 4.3</w:t>
      </w:r>
    </w:p>
    <w:p>
      <w:r>
        <w:t>Ein Abgleich der Fingerabdrücke des Beschwerdeführers mit der «Eurodac»-Datenbank ergab, dass er am 5. Januar 2023 in Kroatien ein Asylgesuch eingereicht hatte. Nachdem die kroatischen Behörden dem Gesuch um Rückübernahme gestützt auf Art. 20 Abs. 5 Dublin-III-VO innert der in Art. 25 Abs. 1 Dublin-III-VO festgelegten Frist ausdrücklich zugestimmt haben, ist die Zuständigkeit Kroatiens grundsätzlich gegeben, was der Beschwerdeführer denn auch nicht bestreitet. Soweit der Beschwerdeführer angibt, die Schweiz sei immer sein Zielland gewesen und er habe in Kroatien kein Asylgesuch stellen wollen, ist ihm zu entgegnen, dass die Dublin-III-VO Schutzsuchenden kein Recht einräumt, den ihren Antrag prüfenden Staat selber auszuwählen (vgl. BVGE 2010/45 E. 8.3).</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Gemäss Praxis des Bundesverwaltungsgerichts liegen zum heutigen Zeitpunkt, auch unter Würdigung der kritischen Berichterstattung zu Kroatien,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und D-4160/2022 vom 28. September 2022 E. 7.3). Auch unter Berücksichtigung der vom Beschwerdeführer wiederholt pauschal behaupteten «brutalen» Behandlung und seiner (angeblichen) Inhaftierung für 14 Stunden ist nicht davon auszugehen, Kroatien würde systematisch gegen seine vertraglichen Verpflichtungen verstossen und dass er (der Beschwerdeführer) bei seiner Rückkehr mit hoher Wahrscheinlichkeit Opfer einer unmenschlichen oder erniedrigenden Behandlung im Sinne von Art. 3 EMRK, Art. 3 des Übereinkommens vom 10. Dezember 1984 gegen Folter und andere grausame, unmenschliche oder erniedrigende Behandlung oder Strafe (FoK, SR 0.105) oder Art. 4 EU-Grundrechtecharta würde. Im Falle eines Fehlverhaltens einzelner Beamter oder Privatpersonen darf von ihm erwartet werden, dass er sich an die zuständigen kroatischen Behörden wendet. Die geltend gemachten Erlebnisse stehen - bei Wahrunterstellung - ohnehin im Zusammenhang mit seiner unbestrittenermassen illegalen Einreise nach Kroatien. Diesbezüglich sieht sich Kroatien seit geraumer Zeit mit zum Teil schweren Vorwürfen konfrontiert. Diese Vorwürfe beziehen sich jedoch auf das Verhalten des Landes an seinen Aussengrenzen zu Bosnien und Herzegowina sowie zu Serbien (vgl. auch Urteil des BVGer D-5299/2022 vom 30. November 2022 E. 6.2). Im Falle einer Rücküberstellung nach Kroatien würde der Beschwerdeführer jedoch auf legalem Wege in die Hauptstadt Zagreb überstellt. Die Vorinstanz hat denn auch eine Einzelfallprüfung vorgenommen und ist unter Verweis auf Abklärungen durch die Schweizer Botschaft in Kroatien zu Recht zum Schluss gelangt, dass Personen, welche im Rahmen eines Dublin-Verfahrens nach Kroatien zurückgeführt werden, nicht von einer allfälligen Push-back-Praxis betroffen sind (vgl. Urteil des BVGer D-4160/2022 vom 28. September 2022 E. 7.3.1).</w:t>
      </w:r>
    </w:p>
    <w:p>
      <w:r>
        <w:rPr>
          <w:b/>
        </w:rPr>
        <w:t>E. 5.3</w:t>
      </w:r>
    </w:p>
    <w:p>
      <w:r>
        <w:t>Die Anwendung von Art. 3 Abs. 2 Dublin-III-VO ist demnach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6.2</w:t>
      </w:r>
    </w:p>
    <w:p>
      <w:r>
        <w:t>Auch unter diesem Aspekt vermag der Beschwerdeführer nichts zu seinen Gunsten abzuleiten. Eine zwangsweise Rückweisung von Personen mit gesundheitlichen Problemen kann zwar ausnahmsweise einen Verstoss gegen Art. 3 EMRK darstellen, eine vom EGMR definierte Konstellation betrifft jedoch nur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Seinen Gesundheitszustand betreffend gab der Beschwerdeführer zu Protokoll, er habe Probleme mit den Zähnen und sei gegen eine Krätzeerkrankung (erfolgreich) behandelt worden (vgl. A10/2). Medizinische Unterlagen zu den geltend gemachten Beschwerden finden sich in den Akten ebenso wenig wie Hinweise auf einen akuten Behandlungsbedarf. Im Falle seiner Überstellung nach Kroatien ist demnach nicht mit dem Risiko einer ernsten, raschen und unwiederbringlichen Verschlechterung seines Gesundheitszustandes zu rechnen. Zudem verfügt Kroatien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den Antragstellern mit besonderen Bedürfnissen ist die erforderliche medizinische oder sonstige Hilfe (einschliesslich nötigenfalls einer geeigneten psychologischen Betreuung) zu gewähren (vgl. Urteil des BVGer E-3281/2021 vom 22. Juli 2021 E. 7.5.2 m.H.a. Art. 19 Abs. 1 und 2 Aufnahmerichtlinie). Sodann bestehen in Kroatien nebst den staatlichen Einrichtungen auch Angebote von Nichtregierungsorganisationen für die psychische Betreuung (vgl. Urteil des BVGer E-3281/2021 vom 22. Juli 2021 E. 7.5.2). Es liegen keine Hinweise vor, dass Kroatien seinen Verpflichtungen im Rahmen der Dublin-III-VO in medizinischer Hinsicht nicht nachkommen würde.</w:t>
      </w:r>
    </w:p>
    <w:p>
      <w:r>
        <w:rPr>
          <w:b/>
        </w:rPr>
        <w:t>E. 6.3</w:t>
      </w:r>
    </w:p>
    <w:p>
      <w:r>
        <w:t>Insgesamt liegen somit keine zwingenden Gründe für eine Anwendung der Ermessensklauseln von Art. 17 Dublin-III-VO vor.</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8</w:t>
      </w:r>
    </w:p>
    <w:p>
      <w:r>
        <w:t>Die Vorinstanz ist demnach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9</w:t>
      </w:r>
    </w:p>
    <w:p>
      <w:r>
        <w:t>Zusammenfassend ergibt sich somit, dass die angefochtene Verfügung Bundesrecht nicht verletzt, den rechtserheblichen Sachverhalt richtig sowie vollständig feststellt und - soweit diesbezüglich überprüfbar - angemessen ist. Die Beschwerde ist daher abzuweisen. Die Gesuche um Erteilung der aufschiebenden Wirkung sowie Verzicht auf die Erhebung eines Kostenvorschusses sind mit dem vorliegenden Entscheid in der Sache gegenstandslos geworden.</w:t>
      </w:r>
    </w:p>
    <w:p>
      <w:r>
        <w:rPr>
          <w:b/>
        </w:rPr>
        <w:t>E. 10.1</w:t>
      </w:r>
    </w:p>
    <w:p>
      <w:r>
        <w:t>Das Gesuch um Gewährung der unentgeltlichen Prozessführung ist abzuweisen, da die Begehren - wie sich aus den vorstehenden Erwägungen ergibt - als aussichtslos zu bezeichnen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