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D-101/2012 vom 15. August 2013</w:t>
      </w:r>
    </w:p>
    <w:p>
      <w:r>
        <w:t>Bundesverwaltungsgericht, 2013-08-15, DE</w:t>
      </w:r>
    </w:p>
    <w:p>
      <w:r>
        <w:rPr>
          <w:b/>
        </w:rPr>
        <w:t xml:space="preserve">Quelle: </w:t>
      </w:r>
      <w:r>
        <w:t>https://mcp.opencaselaw.ch/entscheid/bvger_D-101_2012</w:t>
      </w:r>
    </w:p>
    <w:p>
      <w:r>
        <w:t>FR: TAF D-101/2012 du 15 août 2013</w:t>
      </w:r>
    </w:p>
    <w:p>
      <w:r>
        <w:t>IT: TAF D-101/2012 del 15 agosto 2013</w:t>
      </w:r>
    </w:p>
    <w:p>
      <w:pPr>
        <w:pStyle w:val="Heading2"/>
      </w:pPr>
      <w:r>
        <w:t>Regeste</w:t>
      </w:r>
    </w:p>
    <w:p>
      <w:r>
        <w:t>Asyl und Wegweisung</w:t>
      </w:r>
    </w:p>
    <w:p>
      <w:pPr>
        <w:pStyle w:val="Heading2"/>
      </w:pPr>
      <w:r>
        <w:t>Erwägungen</w:t>
      </w:r>
    </w:p>
    <w:p>
      <w:r>
        <w:rPr>
          <w:b/>
        </w:rPr>
        <w:t>E. 1.1</w:t>
      </w:r>
    </w:p>
    <w:p>
      <w:r>
        <w:t>Gemäss Art. 33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vorinstanzlichen Verfahren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monierte, die Vorinstanz habe seinen Anspruch auf rechtliches Gehör verletzt, indem ihm keine vollumfängliche Einsicht in die Botschaftsanfragen und -berichte gewährt worden sei. Diese verfahrensrechtliche Rüge ist vorab zu prüfen, da sie allenfalls geeignet wäre, eine Kassation der vorinstanzlichen Verfügung zu bewirken (vgl. Entscheidungen und Mitteilungen der [vormaligen] Schweizerischen Asylrekurskommission [EMARK] 2004 Nr. 38 und EMARK 1994 Nr. 1; FRITZ GYGI, Bundesverwaltungsrechtspflege, 2. Aufl., Bern 1983, S. 233, m.w.H., S. 287 und 297; ALFRED KÖLZ/ISABELLE HÄNER, Verwaltungsverfahren und Verwaltungsrechtspflege des Bundes, 2. Aufl., Zürich 1998, S. 225, m.w.H.).</w:t>
      </w:r>
    </w:p>
    <w:p>
      <w:r>
        <w:rPr>
          <w:b/>
        </w:rPr>
        <w:t>E. 3.2</w:t>
      </w:r>
    </w:p>
    <w:p>
      <w:r>
        <w:t>Gemäss Art. 26 Abs. 1 VwVG hat die Partei Anspruch auf Einsicht in die Verfahrensakten. Darunter sind sämtliche Aktenstücke zu verstehen, die für die Behörde entscheidrelevant sind oder sein könnten (vgl. etwa BVGE 2008/14 E. 6.2.1). Die Einsichtnahme in die Akten kann gestützt auf einen der in Art. 27 Abs. 1 VwVG genannten Gründe verweigert werden. Wird einer Partei die Einsichtnahme in ein Aktenstück verweigert, so darf auf dieses zu ihrem Nachteil nur abgestellt werden, wenn ihr die Behörde von dem für die Sache wesentlichen Inhalt mündlich oder schriftlich Kenntnis gegeben und ihr die Gelegenheit eingeräumt hat, sich dazu zu äussern und Gegenbeweismittel zu bezeichnen (Art. 28 VwVG).</w:t>
      </w:r>
    </w:p>
    <w:p>
      <w:r>
        <w:rPr>
          <w:b/>
        </w:rPr>
        <w:t>E. 3.3</w:t>
      </w:r>
    </w:p>
    <w:p>
      <w:r>
        <w:t>Vorliegend informierte das BFM den Beschwerdeführer in der Zwischenverfügung vom 24. Oktober 2011 über die in seinem Auftrag durch die schweizerische Vertretung in Pristina getätigten Abklärungen. Die entsprechende Anfrage und den Botschaftsbericht stufte das BFM gestützt auf Art. 27 Abs. 1 Bst. a VwVG als nicht zur Edition vorgesehen ein, da die betreffenden Dokumente Angaben enthalten würden, deren Geheimhaltung zur Vermeidung einer missbräuchlichen Weiterverbreitung im wesentlichen öffentlichen Interesse liege. Indes legte es dem Beschwerdeführer den wesentlichen Inhalt der betreffenden Dokumente offen und setzte ihm im Sinne von Art. 28 VwVG eine Frist zur Stellungnahme und Bezeichnung allfälliger Gegenbeweismittel. Zeitgleich stellte das BFM dem Rechtsvertreter des Beschwerdeführers im Rahmen des Beschwerdeverfahrens der Eltern und Geschwister ([...]) das mit den Botschaftsabklärungen beschaffte Urteil des Amtsgerichts E._______ vom (...) zu.</w:t>
      </w:r>
    </w:p>
    <w:p>
      <w:r>
        <w:rPr>
          <w:b/>
        </w:rPr>
        <w:t>E. 3.4</w:t>
      </w:r>
    </w:p>
    <w:p>
      <w:r>
        <w:t>Das Vorgehen des BFM ist nicht zu beanstanden. Die Akten der Botschaftsabklärungen geben Aufschluss über die konkrete Zusammenarbeit der schweizerischen Behörden und enthalten teilweise Angaben über die Arbeitsweise der Botschaft, und es besteht in casu ein überwiegendes öffentliches Interesse an der Geheimhaltung dieser Aktenstücke. Hinsichtlich des Einwands des Beschwerdeführers, er könne nur bei Kenntnis des genauen Wortlauts der Dokumente zur angeblichen Zerstrittenheit mit der Familie P., zur Aussage, dass diese nicht als kriminell bekannt gewesen sei, und zu fehlenden Behelligungen der in D._______ wohnhaften Brüder seines Vaters Stellung nehmen, ist auf den Quellen- und Persönlichkeitsschutz zu verweisen, wonach Quellen und Daten von Informanten nicht offengelegt werden können. Im Übrigen ergeben sich die fraglichen Sach­verhalte mehrheitlich aus den dem Rechtsvertreter des Beschwerdeführers im Beschwerdeverfahren (...) zugestellten kosovarischen Gerichtsakten, die dem Beschwerdeführer und seiner Familie wohl auch anderweitig bereits bekannt gewesen sein dürften. Das BFM hat die Ergebnisse der Botschaftsabklärungen in seiner Zusammenfassung vom 24. Oktober 2011 korrekt und grösstenteils fast wörtlich wiedergegeben, so dass eine Anfechtung der vorinstanzlichen Verfügung und eine Ausein­andersetzung mit den entsprechenden Erwägungen für den Beschwerdeführer ohne Einschränkung möglich war.</w:t>
      </w:r>
    </w:p>
    <w:p>
      <w:r>
        <w:rPr>
          <w:b/>
        </w:rPr>
        <w:t>E. 3.5</w:t>
      </w:r>
    </w:p>
    <w:p>
      <w:r>
        <w:t>Die Rüge der Beschwerdeführers, das BFM habe formelles Recht ver­letzt, greift somit nicht. Die Vorinstanz hat dem Anspruch des Beschwerdeführers auf Akteneinsicht und rechtliches Gehör Genüge getan, weshalb der Antrag um Rückweisung der Sache an das BFM zur Neubeurteilung abzuweisen ist.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Massgeblich für die Beurteilung der Flüchtlingseigenschaft nach Art. 3 AsylG ist die Situation im Zeitpunkt des Asylentscheids, wobei erlittene Verfolgung oder begründete Furcht vor Verfolgung im Zeitpunkt der Ausreise aus dem Heimatland ein Hinweis auf weiterbestehende Gefährdung sein kann (vgl. BVGE 2008/4 Nr. 5.4 mit weiteren Hinweisen).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EMARK 2004 Nr. 1 E. 5 S. 4 ff.)</w:t>
      </w:r>
    </w:p>
    <w:p>
      <w:r>
        <w:rPr>
          <w:b/>
        </w:rPr>
        <w:t>E. 5</w:t>
      </w:r>
    </w:p>
    <w:p>
      <w:r>
        <w:t>Das BFM erachtete die geltend gemachten Ausreisegründe des Beschwerdeführers sowohl als den Anforderungen an die Glaubhaftigkeit ge­mäss Art. 7 AsylG als auch denjenigen an die Flüchtlingseigenschaft gemäss Art. 3 AsylG nicht genügend. Dieser Einschätzung ist im Ergebnis beizupflichten. Zur Vermeidung von Wiederholungen kann vorab auf die nicht zu beanstandenden Ausführungen in der angefochtenen Verfügung verwiesen werden. Den Rechtsmitteleingaben sind keine stichhaltigen Entgegnungen zu entnehmen, die geeignet wären, eine Änderung der an­gefochtenen Verfügung hinsichtlich der Flüchtlingseigenschaft und des Asyls herbeizuführen.</w:t>
      </w:r>
    </w:p>
    <w:p>
      <w:r>
        <w:rPr>
          <w:b/>
        </w:rPr>
        <w:t>E. 5.1</w:t>
      </w:r>
    </w:p>
    <w:p>
      <w:r>
        <w:t>Das BFM hat zutreffend festgestellt, dass die Angaben des Beschwer­deführers zum Vorfall vom (...) in wesentlichen Punkten - angebliche Abwesenheit des Beschwerdeführers bei der Auseinandersetzung beziehungsweise erst späteres Hinzukommen zum Tatort, keinerlei vorgängige Probleme mit der Familie P., Verurteilung des Vaters zu einer bedingten Freiheitsstrafe - den aktenkundigen kosovarischen Gerichtsakten widersprechen. Aus diesen ergibt sich vielmehr, dass der Beschwerdeführer ebenfalls am Tatort zugegen war und angeklagt, indes freigesprochen wurde, die beiden Familien bereits seit langem zerstritten sind (der letzte Konflikt zwischen dem Beschwerdeführer und den Söhnen M. und K. der Familie P. habe nur zwei Tage vor dem [...] stattgefunden) und der Vater des Beschwerdeführers wegen "Mordes in psychischem Affekt" und "Verwendung unerlaubter Waffen" zu einer unbedingten Freiheitsstrafe von fünf Jahren verurteilt worden ist. Der überlebende Sohn M. der Familie P., von dem der Angriff auf den Beschwerdeführer und dessen Vater am (...) ausgegangen sei, wurde wegen "schweren Mordversuchs" und "Verwendung unerlaubter Waffen" zu einer dreijährigen Freiheitsstrafe verurteilt. Die tatsachenwidrigen Angaben des Beschwerdeführers erwecken den Anschein, er habe das Heimatland mit seiner Familie kurz nach der Verurteilung des Vaters zu einer unbedingten fünfjährigen Freiheitsstrafe am (...) (Asylgesuchstellung in B._______ am [...]) primär verlassen, damit sich der Vater der drohenden Vollstreckung der ausgesprochenen Haftstrafe entziehen könne. Hinsichtlich der geltend gemachten Angst vor Blutrache lässt sich den Botschaftsabklärungen und den aktenkundigen kosovarischen Gerichtsakten entnehmen, dass die Familie des Beschwerdeführers direkt nach dem Vorfall vom (...) während rund fünfzehn Tagen unter Polizeischutz stand. Ob der Beschwerdeführer (und seine Familie) jedoch im Zeitpunkt der Ausreise aus Kosovo Ende Juni 2008 - rund eineinhalb Jahre nach dem Tattag ([...]) beziehungsweise rund neun Monate nach dem Wegzug aus D._______ und der mit dem Urteil des Amtsgerichts E._______ vom (...) gerichtlich festgestellten Ver­antwortlichkeit des Sohnes M. der Familie P. als Angreifer und damit Auslöser der für sei­nen Bruder K. tödlich endenden Auseinandersetzung - konkreten Drohungen seitens der Familie P. ausgesetzt war respektive dies im heutigen Zeitpunkt noch wäre, erscheint angesichts der vom BFM zutreffend aufgezeigten Unsubstanziiertheit der Angaben des Beschwerdeführers zu den angeblichen Behelligungen nach dem Wegzug aus D._______ (vgl. A1 S. 6, A31 S. 9 F 99), der dem Kanun widersprechenden Angabe, dass auch den weiblichen Familienmitgliedern Blutrache gedroht habe (vgl. A31 S. 9 F97), und dem Ergebnis der Botschaftsabklärungen, wonach die Onkel väterlicherseits des Beschwerdeführers von der Familie P. unbehelligt in D._______ leben, zweifelhaft. Eine abschlies­sende Beurteilung kann indes aufgrund der fehlenden Asylrelevanz der Vorbringen (vgl. hierzu die nachfolgenden Ausführungen) offen bleiben.</w:t>
      </w:r>
    </w:p>
    <w:p>
      <w:r>
        <w:rPr>
          <w:b/>
        </w:rPr>
        <w:t>E. 5.2</w:t>
      </w:r>
    </w:p>
    <w:p>
      <w:r>
        <w:t>Ungeachtet der Frage der Glaubhaftigkeit der betreffenden Vorbringen des Beschwerdeführers, vermögen diese keine Asylrelevanz zu begründen. Das Flüchtlingsrecht ist subsidiär ausgestaltet, d. h. der Schutz eines Drittstaates kann nur dann in Anspruch genommen werden, wenn der Heimatstaat der betroffenen Person keinen Schutz vor Behelligungen und Drohungen seitens Privatpersonen bieten kann oder will. Eine Verfolgung durch nichtstaatliche Akteure kann somit nur flüchtlingsrechtlich relevant sein, wenn es der betroffenen Person nicht möglich ist, davor im Heimatstaat adäquaten Schutz zu finden. Der Schutz ist dann als ausreichend zu qualifizieren, wenn die betroffene Person effektiv Zugang zu einer funktionierenden Infrastruktur hat und ihr deren Inanspruchnahme zumutbar ist, wobei von einem Staat nicht erwartet werden kann, dass er jederzeit präventiv in alle Lebensbereiche seiner Bürger eingreifen kann (vgl. EMARK 2006 Nr. 18). Der Bundesrat hat Kosovo zu einem verfolgungssicheren Staat (sog. "safe country") erklärt (Art. 6a Abs. 2 Bst. a AsylG), in welchem nach seinen Feststellungen grundsätzlich Sicherheit vor Verfolgung besteht, d. h. in dem asylrelevante staatliche Verfolgung nicht stattfindet und Schutz vor nichtstaatlicher Verfolgung gewährleistet ist. Nach den Erkenntnissen des Bundesverwaltungsgerichts gehen die zuständigen kosovarischen Behör­den denn auch im Rahmen ihrer Möglichkeiten konsequent gegen Bedrohungen und Übergriffe durch Privatpersonen vor und es kann damit sowohl vom Schutzwillen als auch von der weitgehenden Schutzfähigkeit der kosovarischen Sicherheitsbehörden ausgegangen werden. Dies gilt auch für eine allenfalls bestehende Bedrohung durch Blutrache. Dem Beschwerdeführer und seiner Familie wurde denn auch nach der Tat vom (...) Polizeischutz zugestanden und gemäss seinen Angaben sei die Polizei auch jedes Mal umgehend gekommen, wenn sie sich danach hilfesuchend an diese gewandt hätten. Dies zeigt nicht nur den Schutzwillen der kosovarischen Behörden, sondern auch, dass dem Beschwerdeführer die staatliche Schutzinfrastruktur zugänglich ist, deren In­anspruchnahme ihm auch weiterhin zumutbar ist, zumal keinerlei Hinweise vorliegen, dass die kosovarischen Behörden nicht fähig oder willens wären, ihm künftig bei Bedarf Schutz vor Übergriffen seitens der Familie P. zu gewähren und zu diesem Zweck konkrete geeignete Massnahmen zu treffen.</w:t>
      </w:r>
    </w:p>
    <w:p>
      <w:r>
        <w:rPr>
          <w:b/>
        </w:rPr>
        <w:t>E. 5.3</w:t>
      </w:r>
    </w:p>
    <w:p>
      <w:r>
        <w:t>Der Beschwerdeführer erfüllt damit die Flüchtlingseigenschaft gemäss Art. 3 AsylG nicht. Das Bundesamt hat das Asylgesuch zu Recht abgelehnt.</w:t>
      </w:r>
    </w:p>
    <w:p>
      <w:r>
        <w:rPr>
          <w:b/>
        </w:rPr>
        <w:t>E. 6.1</w:t>
      </w:r>
    </w:p>
    <w:p>
      <w:r>
        <w:t>Lehnt das Bundesamt das Asylgesuch ab oder tritt es darauf nicht ein, so verfügt es in der Regel die Wegweisung aus der Schweiz und ordnet den Vollzug an (Art. 44 Abs. 1 AsylG). Ist die asylsuchende Person indes im Besitz einer gültigen Aufenthalts- oder Niederlassungsbewilligung, wird die Wegweisung nicht verfügt (Art. 32 Bst. a der Asylverordnung 1 vom 11. August 1999 [AsylV 1, SR 142.311]).</w:t>
      </w:r>
    </w:p>
    <w:p>
      <w:r>
        <w:rPr>
          <w:b/>
        </w:rPr>
        <w:t>E. 6.2</w:t>
      </w:r>
    </w:p>
    <w:p>
      <w:r>
        <w:t>Der Beschwerdeführer verfügt nach der am 12. Dezember 2011 erfolgten Heirat mit einer Schweizerin grundsätzlich über einen Anspruch auf Erteilung einer ausländerrechtlichen Aufenthaltsbewilligung (Art. 42 Abs. 1 des Bundesgesetzes über die Ausländerinnen und Ausländer vom 16. Dezember 2005 [AuG, SR 142.20]), wobei die konkrete Beurteilung des (grundsätzlichen) Anspruchs und damit der Entscheid über die Wegweisung in die Zuständigkeit der ausländerrechtlichen Behörden fällt. Dem Beschwerdeführer wurde mittlerweile eine entsprechende Aufenthaltsbewilligung erteilt, so dass die Beschwerde betreffend die Fragen der Wegweisung und des Wegweisungsvollzugs gegenstandslos geworden und entsprechend abzuschreiben ist (vgl. BVGE 2008/34 E. 9.2 S. 510, mit Verweis auf EMARK 2001 Nr. 21).</w:t>
      </w:r>
    </w:p>
    <w:p>
      <w:r>
        <w:rPr>
          <w:b/>
        </w:rPr>
        <w:t>E. 7</w:t>
      </w:r>
    </w:p>
    <w:p>
      <w:r>
        <w:t>Die Beschwerde ist nach dem Gesagten insoweit als gegenstandslos geworden abzuschreiben, als sie die Fragen der Wegweisung und des Weg­weisungsvollzugs betrifft. Im Übrigen ist die Beschwerde abzuweisen.</w:t>
      </w:r>
    </w:p>
    <w:p>
      <w:r>
        <w:rPr>
          <w:b/>
        </w:rPr>
        <w:t>E. 8.1</w:t>
      </w:r>
    </w:p>
    <w:p>
      <w:r>
        <w:t>Die unterliegende Partei hat die Kosten des Verfahrens zu tragen. Unterliegt sie nur teilweise, so werden die Verfahrenskosten ermässigt (Art. 63 Abs. 1 VwVG). Bei Gegenstandslosigkeit des Verfahrens werden die Verfahrenskosten in der Regel jener Partei auferlegt, deren Verhalten die Gegenstandslosigkeit bewirkt hat; ist das Verfahren ohne Zutun der Parteien gegenstandslos geworden, werden die Kosten auf Grund der Sachlage vor dem Eintritt des Erledigungsgrunds festgelegt (Art. 4 des Reglements vom 21. Februar 2008 über die Kosten und Entschädigungen vor dem Bundesverwaltungsgericht [VGKE, SR 173.320.2]).</w:t>
      </w:r>
    </w:p>
    <w:p>
      <w:r>
        <w:rPr>
          <w:b/>
        </w:rPr>
        <w:t>E. 8.2</w:t>
      </w:r>
    </w:p>
    <w:p>
      <w:r>
        <w:t>Die Heirat des Beschwerdeführers mit einer Schweizerin ist nicht als ein die Gegenstandslosigkeit bewirkendes Verhalten im Sinne der genannten Bestimmung zu werten. Hinsichtlich der Frage der Kostenauflage sind deshalb die Erfolgschancen der Beschwerde vor der Heirat zu ermitteln. Die diesbezügliche Überprüfung der Akten ergibt, dass die Wegweisung als gesetzliche Regelfolge der Asylverweigerung zu bestätigen gewesen wäre (Art. 44 Abs. 1 AsylG). Auch der angeordnete Vollzug der Wegweisung des Beschwerdeführers, der einen (...) sowie Arbeitserfahrung als (...) und (...) vorweisen kann (vgl. A1 S. 2), wäre zu bestätigen gewesen, zumal er gemeinsam mit seinen Eltern und Geschwistern, deren Beschwerde mit Urteil gleichen Datums ebenfalls abgewiesen wird (vgl. hierzu die entsprechenden Erwägungen im Beschwerdeurteil [...] [E. 7]), in sein Heimatland, wo auch noch weitere Verwandte leben (vgl. A1 S. 3), zurückkehren könnte. Die Beschwerde hätte damit vor der Heirat auch hinsichtlich der Fragen der Wegweisung und des Wegweisungsvollzugs keine Chancen auf Erfolg gehabt. Es wäre deshalb vom vollumfänglichen Unterliegen des Beschwerdeführers auszugehen gewesen. Ihm sind damit die Verfahrenskosten in der Höhe von Fr. 600.- aufzuerlegen (Art. 63 Abs. 1 und 5 VwVG). Diese sind durch den in gleicher Höhe geleisteten Kostenvorschuss gedeckt und mit diesem zu verrechnen.</w:t>
      </w:r>
    </w:p>
    <w:p>
      <w:r>
        <w:rPr>
          <w:b/>
        </w:rPr>
        <w:t>E. 9</w:t>
      </w:r>
    </w:p>
    <w:p>
      <w:r>
        <w:t>Bei diesem Ausgang des Verfahrens ist dem Beschwerdeführer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