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D-1014/2025 vom 28. März 2025</w:t>
      </w:r>
    </w:p>
    <w:p>
      <w:r>
        <w:t>Bundesverwaltungsgericht, 2025-03-28, DE</w:t>
      </w:r>
    </w:p>
    <w:p>
      <w:r>
        <w:rPr>
          <w:b/>
        </w:rPr>
        <w:t xml:space="preserve">Quelle: </w:t>
      </w:r>
      <w:r>
        <w:t>https://mcp.opencaselaw.ch/entscheid/bvger_D-1014_2025</w:t>
      </w:r>
    </w:p>
    <w:p>
      <w:r>
        <w:t>FR: TAF D-1014/2025 du 28 mars 2025</w:t>
      </w:r>
    </w:p>
    <w:p>
      <w:r>
        <w:t>IT: TAF D-1014/2025 del 28 marzo 2025</w:t>
      </w:r>
    </w:p>
    <w:p>
      <w:pPr>
        <w:pStyle w:val="Heading2"/>
      </w:pPr>
      <w:r>
        <w:t>Regeste</w:t>
      </w:r>
    </w:p>
    <w:p>
      <w:r>
        <w:t>Asyl und Wegweisung</w:t>
      </w:r>
    </w:p>
    <w:p>
      <w:pPr>
        <w:pStyle w:val="Heading2"/>
      </w:pPr>
      <w:r>
        <w:t>Erwägungen</w:t>
      </w:r>
    </w:p>
    <w:p>
      <w:r>
        <w:rPr>
          <w:b/>
        </w:rPr>
        <w:t>E. 9</w:t>
      </w:r>
    </w:p>
    <w:p>
      <w:r>
        <w:t>Dezember 2024 E. 10.3), dass auch keine individuellen Gründe auf eine konkrete Gefährdung im Falle einer Rückkehr schliessen lassen, dass der Einwand in der Beschwerde, bei einer Rückkehr würde ihm eine wirtschaftliche Notlage im Sinn von Art. 3 EMRK drohen, nicht verfängt, zumal es sich beim Beschwerdeführer um einen jungen Mann mit Schul- bildung, einer Ausbildung als Autoelektriker und Berufserfahrung handelt, weshalb eine wirtschaftliche und soziale Reintegration im Heimatstaat möglich erscheint, dass im Übrigen auf die zutreffenden Erwägungen der Vorinstanz zu ver- weisen ist, dass es dem Beschwerdeführer schliesslich freisteht, seinen Wohnsitz in einen anderen Landesteil oder in eine Grossstadt – etwa nach Tunis – zu verlegen,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die mit der Beschwerde gestellten Gesuche um Gewährung der un- entgeltlichen Prozessführung und der amtlichen Rechtsverbeiständung</w:t>
      </w:r>
    </w:p>
    <w:p>
      <w:r>
        <w:t>D-1014/2025 Seite 14 abzuweisen sind, da sich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 und zu deren Begleichung der in selber Höhe geleistete Kostenvorschuss zu verwenden ist.</w:t>
      </w:r>
    </w:p>
    <w:p>
      <w:r>
        <w:t>(Dispositiv nächste Seite)</w:t>
      </w:r>
    </w:p>
    <w:p>
      <w:r>
        <w:t>D-1014/2025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