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D-1014/2021 vom 23. März 2021</w:t>
      </w:r>
    </w:p>
    <w:p>
      <w:r>
        <w:t>Bundesverwaltungsgericht, 2021-03-23, DE</w:t>
      </w:r>
    </w:p>
    <w:p>
      <w:r>
        <w:rPr>
          <w:b/>
        </w:rPr>
        <w:t xml:space="preserve">Quelle: </w:t>
      </w:r>
      <w:r>
        <w:t>https://mcp.opencaselaw.ch/entscheid/bvger_D-1014_2021</w:t>
      </w:r>
    </w:p>
    <w:p>
      <w:r>
        <w:t>FR: TAF D-1014/2021 du 23 mars 2021</w:t>
      </w:r>
    </w:p>
    <w:p>
      <w:r>
        <w:t>IT: TAF D-1014/2021 del 23 marzo 2021</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(nach Verbesserung)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nachfolgend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gelangte in der angefochtenen Verfügung zum Schluss, die Vorbringen des Beschwerdeführers hielten den Anforderungen an die Flüchtlingseigenschaft gemäss Art. 3 AsylG nicht stand. Zur Begründung führte sie im Wesentlichen aus, der Bundesrat habe Rumänien als verfolgungssicheren Staat im Sinne von Art. 6a Abs. 2 Bst. a AsylG bezeichnet. Entsprechend bestehe die gesetzliche Regelvermutung, dass asylrelevante staatliche Verfolgung nicht stattfinde und Schutz vor nichtstaatlicher Verfolgung gewährleistet sei. Der Beschwerdeführer vermöge diese Regelvermutung nicht umzustossen. Die geltend gemachten körperlichen Angriffe durch unbekannte Dritte in der Stadt C._______ stellten in Rumänien strafbare Handlungen dar, die von den zuständigen Strafverfolgungsbehörden im Rahmen ihrer Möglichkeiten verfolgt und geahndet würden. Entsprechend habe er sie den Strafverfolgungsbehörden auch zur Anzeige bringen können. Alleine der Umstand, dass die Behördenvertreter nicht im gewünschten Masse aktiv geworden seien, könne die grundsätzliche Schutzfähigkeit und Schutzwilligkeit der rumänischen Behörden nicht in Frage stellen, zumal es diesen anhand der unsubstantiierten Angaben des Beschwerdeführers nicht möglich gewesen sein dürfte, die vorgebrachten Straftaten aufzuklären. Im Übrigen seien den Vorbringen des Beschwerdeführers keine konkreten Hinweise zu entnehmen, dass er im Zeitpunkt seiner Ausreise aus dem Heimatstaat seitens Behördenvertreter oder Drittpersonen einer konkreten Gefährdung im Sinne von Art. 3 AsylG ausgesetzt gewesen wäre beziehungsweise ihm eine solche gedroht hätte; insbesondere beruhten die vorgebrachten gesundheitlichen und sozialen Probleme nicht auf einem der von Art. 3 AsylG erfassten Verfolgungsmotive. Auch den eingereichten Unterlagen betreffend sein Asylverfahren in E._______ sei nichts Gegenteiliges zu entnehmen. Er habe dort sinngemäss dieselben Vorbringen wie im vorliegenden Verfahren geltend gemacht. Zur Stellungnahme zum Verfügungsentwurf erwog die Vorinstanz, dass damit keine Tatsachen oder Beweismittel vorgelegt worden seien, welche eine Änderung des dargelegten Standpunktes rechtfertigen könnten. Allfällige Asylvorbringen, die Vorgänge beträfen, die sich in einem Drittstaat ereignet hätten, begründeten die Flüchtlingseigenschaft einzig dann, wenn diese auch im Heimatstaat zu einer Verfolgungssituation führten. Da aufgrund der Aktenlage nicht darauf geschlossen werden könne, dass er aufgrund der geltend gemachten Probleme in E._______ auch in seinem Heimatstaat Rumänien entsprechende Nachteile zu befürchten hätte, sei darauf nicht näher einzugehen. Sodann ordne das SEM auch bei Gesuchen von EU-Bürgern praxisgemäss die Wegweisung an, da das Stellen eines Asylgesuches den Schluss zulasse, dass sich die asylsuchende Person gerade nicht aus einem der im FZA genannten Gründen (Tourismus, Arbeitssuche etc.) in der Schweiz aufhalte.</w:t>
      </w:r>
    </w:p>
    <w:p>
      <w:r>
        <w:rPr>
          <w:b/>
        </w:rPr>
        <w:t>E. 5.2</w:t>
      </w:r>
    </w:p>
    <w:p>
      <w:r>
        <w:t>Der Beschwerdeführer beschränkte sich in seiner Rechtsmitteleingabe inhaltlich auf eine sinngemässe Wiederholung der bisherigen Aussagen sowie der Stellungnahme. Hinsichtlich der Zumutbarkeit des Wegweisungsvollzugs machte er erstmals geltend, in Rumänien keine medizinische Behandlung erhalten zu haben.</w:t>
      </w:r>
    </w:p>
    <w:p>
      <w:r>
        <w:rPr>
          <w:b/>
        </w:rPr>
        <w:t>E. 6.1</w:t>
      </w:r>
    </w:p>
    <w:p>
      <w:r>
        <w:t>Das Bundesverwaltungsgericht gelangt nach Prüfung der Akten zum Schluss, dass die Vorinstanz in ihren Erwägungen zutreffend festgehalten hat, die Vorbringen des Beschwerdeführers genügten den Anforderungen an die Flüchtlingseigenschaft im Sinne von Art. 3 AsylG nicht. Auf die betreffenden Ausführungen in der angefochtenen Verfügung (vgl. die Zusammenfassung der entsprechenden Erwägungen in E. 5.1 des vorliegenden Urteils) kann mit den nachfolgenden Ergänzungen verwiesen werden. Die Ausführungen auf Beschwerdeebene führen zu keiner anderen Betrachtungsweise.</w:t>
      </w:r>
    </w:p>
    <w:p>
      <w:r>
        <w:rPr>
          <w:b/>
        </w:rPr>
        <w:t>E. 6.2</w:t>
      </w:r>
    </w:p>
    <w:p>
      <w:r>
        <w:t>Wie die Vorinstanz zutreffend ausführte, hat der Bundesrat Rumänien als verfolgungssicheren Staat im Sinne von Art. 6a Abs. 2 Bst. a AsylG bezeichnet (vgl. dazu Anhang 2 der Asylverordnung 1 vom 11. August 1999 [AsylV 1, SR 142.311]). Die Bezeichnung eines Staates als "Safe Country" beinhaltet die Regelvermutung, dass eine flüchtlingsrechtlich bedeutsame staatliche Verfolgung nicht stattfindet und der behördliche Schutz vor nichtstaatlicher Verfolgung gewährleistet ist. Es handelt sich dabei um eine relative Verfolgungssicherheit. Im Einzelfall kann die besagte Regelvermutung somit aufgrund konkreter und substanziierter Hinweise umgestossen werden, wobei die Beweislast des Gegenteils der asylsuchenden Person obliegt (vgl. BVGE 2013/10 E. 7.4.3). Der Beschwerdeführer vermag mit seinen Vorbringen die vorgenannte Regelvermutung (Fehlen staatlicher Verfolgung und Gewährleistung von Schutz vor nichtstaatlicher Verfolgung in Rumänien) offenkundig nicht umzustossen. Konkrete Anhaltspunkte für eine objektiv begründete Furcht des Beschwerdeführers vor einer Verfolgung asylbeachtlichen Ausmasses im Sinne von Art. 3 AsylG - insbesondere betreffend die geltend gemachten Foltervorbringen - sind seinen Angaben nicht zu entnehmen, weder von staatlicher Seite noch von Drittpersonen. Auch liegen keine konkreten Hinweise für eine Schutzverweigerung oder Schutzunfähigkeit der rumänischen Behörden vor. Hinsichtlich der geltend gemachten körperlichen Angriffe durch unbekannte Dritte hat der Beschwerdeführer - abgesehen von der Anzeige bei der örtlichen Polizei (vgl. SEM-Akten A19/16 F42, F51) - nicht den Versuch unternommen, Schutz bei einer höheren (gerichtlichen) Instanz zu erlangen. Damit hat er die Schutzsuche in Rumänien offensichtlich nicht ausgeschöpft, wozu er jedoch gehalten gewesen wäre. Aufgrund der Subsidiarität des Asyls hätte er sich an die zuständigen Behörden in Rumänien wenden müssen, bevor er in der Schweiz um Schutz ersucht hat.</w:t>
      </w:r>
    </w:p>
    <w:p>
      <w:r>
        <w:rPr>
          <w:b/>
        </w:rPr>
        <w:t>E. 6.3</w:t>
      </w:r>
    </w:p>
    <w:p>
      <w:r>
        <w:t>Bezüglich der geltend gemachten Schwierigkeiten betreffend die wirtschaftliche Situation in Rumänien ist schliesslich festzuhalten, dass dieses Vorbringen flüchtlingsrechtlich nicht relevant ist, da es sich um Nachteile im Zusammenhang mit den allgemeinen Lebensbedingungen der rumänischen Bevölkerung handelt und nicht um eine Verfolgung im Sinne von Art. 3 AsylG.</w:t>
      </w:r>
    </w:p>
    <w:p>
      <w:r>
        <w:rPr>
          <w:b/>
        </w:rPr>
        <w:t>E. 6.4</w:t>
      </w:r>
    </w:p>
    <w:p>
      <w:r>
        <w:t>Die Vorinstanz hat demzufolge die Flüchtlingseigenschaft des Beschwerdeführers zu Recht verneint und das Asylgesuch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Von dieser Regel wird dann abgewichen, wenn die asylsuchende Person im Besitz einer gültigen ausländerrechtlichen Aufenthalts- oder Niederlassungsbewilligung ist (vgl. Art. 32 Bst. a AsylV1). Praxisgemäss wird die Wegweisung auch dann nicht verfügt, wenn eine asylsuchende Person grundsätzlich über einen Anspruch auf Erteilung einer Aufenthaltsbewilligung verfügt und diesbezüglich ein Gesuch bei der zuständigen kantonalen Ausländerbehörde bereits hängig ist (vgl. statt vieler Urteil des BVGer D-5856/2020 vom 10. Dezember 2020 E. 8.2). Im Falle des Beschwerdeführers ist indessen weder der eine noch der andere Grund für den Verzicht auf die Anordnung der Wegweisung erfüllt. Zur Vermeidung von Wiederholungen kann auf die einlässlichen Erwägungen der Vorinstanz in der angefochtenen Verfügung (vgl. oben E. 5.1) verwiesen werden. Dementsprechend ist die angeordnete Wegweisung aus der Schweiz zu bestätigen.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Zusammen mit der Einstufung als «Safe Country» bezeichnete der Bundesrat Rumänien auch als Heimat- oder Herkunftsstaat, in den eine Rückkehr in der Regel zumutbar ist (vgl. Art. 83 Abs. 5 AIG; Anhang 2 der Verordnung über den Vollzug der Weg- und Ausweisung sowie der Landesverweisung von ausländischen Personen [VVWAL, SR 142.281]). Die Bezeichnung von Staaten, in welche die Wegweisung prinzipiell zumutbar ist, setzt unter anderem politische Stabilität (namentlich das Fehlen von Krieg, Bürgerkrieg oder einer Situation allgemeiner Gewalt) sowie das Vorhandensein einer medizinischen Grundversorgung voraus (Art. 18 Abs. 1 Bst. a und b VVWAL). Auch diese Regelvermutung kann aufgrund konkreter und substanziierter Hinweise widerlegt werden.</w:t>
      </w:r>
    </w:p>
    <w:p>
      <w:r>
        <w:rPr>
          <w:b/>
        </w:rPr>
        <w:t>E. 8.3.2</w:t>
      </w:r>
    </w:p>
    <w:p>
      <w:r>
        <w:t>Unbestritten ist vorliegend, dass in Rumänien weder Krieg, Bürgerkrieg oder einer Situation allgemeiner Gewalt herrscht. Im vorliegenden Fall sprechen sodann - in Übereinstimmung mit der Vorinstanz und entgegen der Ansicht des Beschwerdeführers - keine individuellen Gründe gegen den Wegweisungsvollzug. Der Beschwerdeführer verfügt über eine höhere Schulbildung sowie Arbeitserfahrungen in verschiedenen Tätigkeitsfeldern, namentlich in der (...) und in der (...) (vgl. SEM-Akten A19/16 F8-20), was ihm beim Aufbau einer neuen wirtschaftlichen Existenz entgegen kommen wird. Ausserdem kann er mit seiner (Verwandten) auf ein tragfähiges familiäres Beziehungsnetz und eine gesicherte Wohnsituation im Heimatstaat zurückgreifen (vgl. SEM-Akten A19/16 F7). Was die geltend gemachten, jedoch weder substantiierten noch belegten psychischen Probleme anbelangt (vgl. SEM-Akten A19/16 F84-85), ist er sodann auf die medizinischen Institutionen in seinem Heimatstaat zu verweisen. Entgegen den unsubstantiierten Beschwerdevorbringen liegen insbesondere keine konkreten Hinweise dafür vor, dass Rumänien dem Beschwerdeführer eine adäquate medizinische Behandlung verweigert hätte oder zukünftig verweigern würde, zumal er selber einräumte, im Heimatland diverse medizinische Behandlungen in Anspruch genommen zu haben (vgl. SEM-Akten A19/16 F36, F53, F93). Bei einer allfälligen vorübergehenden Einschränkung ist der Beschwerdeführer im Übrigen anzuweisen, sich an die in Rumänien zuständigen staatlichen Instanzen zu wenden. Schliesslich steht es ihm im Rahmen der Rückkehr offen, vor der Ausreise bei der Vorinstanz einen Antrag auf individuelle medizinische Rückkehrhilfe zu stellen, die unter anderem in der Mitgabe von Medikamenten bestehen kann (vgl. Art. 93 Abs. 1 Bst. d AsylG; Art. 75 der Asylverordnung 2 vom 11. August 1999 [AsylV2, SR 142.312]).</w:t>
      </w:r>
    </w:p>
    <w:p>
      <w:r>
        <w:rPr>
          <w:b/>
        </w:rPr>
        <w:t>E. 8.3.3</w:t>
      </w:r>
    </w:p>
    <w:p>
      <w:r>
        <w:t>Nach dem Gesagten erweist sich der Vollzug der Wegweisung auch als zumutbar.</w:t>
      </w:r>
    </w:p>
    <w:p>
      <w:r>
        <w:rPr>
          <w:b/>
        </w:rPr>
        <w:t>E. 8.4</w:t>
      </w:r>
    </w:p>
    <w:p>
      <w:r>
        <w:t>Schliesslich verfügt der Beschwerdeführer über einen bis am 14. Januar 2031 gültigen Reisepass (vgl. SEM-Akten A15/2),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Prozessführung und die Beiordnung eines amtlichen Rechtsbeistandes (Art. 65 Abs. 1 VwVG und Art. 102m Abs. 4 AsylG). Aufgrund der vorstehenden Erwägungen ergibt sich, dass seine Begehren als aussichtslos zu gelten haben. Damit ist eine der kumulativ zu erfüllenden Voraussetzungen nicht gegeben, weshalb die Gesuche ungeachtet der geltend gemachten Mittellosigkeit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