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D-1014/2012 vom 18. Juni 2012</w:t>
      </w:r>
    </w:p>
    <w:p>
      <w:r>
        <w:t>Bundesverwaltungsgericht, 2012-06-18, DE</w:t>
      </w:r>
    </w:p>
    <w:p>
      <w:r>
        <w:rPr>
          <w:b/>
        </w:rPr>
        <w:t xml:space="preserve">Quelle: </w:t>
      </w:r>
      <w:r>
        <w:t>https://mcp.opencaselaw.ch/entscheid/bvger_D-1014_2012</w:t>
      </w:r>
    </w:p>
    <w:p>
      <w:r>
        <w:t>FR: TAF D-1014/2012 du 18 juin 2012</w:t>
      </w:r>
    </w:p>
    <w:p>
      <w:r>
        <w:t>IT: TAF D-1014/2012 del 18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ist in der angefochtenen Verfügung zum Schluss ge­langt, die Angaben des Beschwerdeführers zu seinen Fluchtgründen seien nicht glaubhaft. Die Ausführungen des Beschwerdeführers in den Anhörungen seien oberflächlich und substanzlos ausgefallen. Insbesondere die Aussagen über den Tod seiner (Familienangehörigen) liessen nicht auf tatsächlich Erlebtes schliessen. Zu diesem zentralen Punkt habe der Beschwerdeführer keine konkreten und detaillierten Angaben machen können. Nach eigenen Ausführungen habe er sich sogar nicht einmal nach den Umständen des Todes der (Familienangehörigen) erkundigt, was realitätsfremd wirke. In gleicher Weise seien die Ausführungen über die Festnahme und die angeblichen Folterungen konfus, oberflächlich und widersprüchlich. So habe er in der Befragung zur Person (BzP) angegeben, dass er lediglich zweimal verhaftet worden sei. Demgegenüber berichtete er in der Bundesbefragung von einer Vielzahl von Verhaftungen, an deren genaue Anzahl er sich nicht mehr erinnern könne. Über die Umstände und den Zeitraum der Haft habe er keine überzeugenden Angaben machen können und die Aussage, dass er derart gefoltert worden sei, dass er das Bewusstsein verloren habe, wirke konstruiert und unrealistisch. Schliesslich seien auch die Angaben zur Konfrontation mit den (Verwandten) äusserst vage.</w:t>
      </w:r>
    </w:p>
    <w:p>
      <w:r>
        <w:rPr>
          <w:b/>
        </w:rPr>
        <w:t>E. 4.2</w:t>
      </w:r>
    </w:p>
    <w:p>
      <w:r>
        <w:t>Gegen diese Ausführungen des BFM macht der Beschwerdeführer geltend, dass er nach dem Erhalt der Nachricht über den Tod seiner (Familienangehörigen) unter Schock gestanden sei und daher nicht mehr normal funktioniert habe. Insbesondere seine Gedächtnisfunktion sei in diesem Schockzustand beeinträchtigt gewesen. Glaubwürdigerweise würden sich seine Erinnerungen daher auf die Trauer der Familie beziehen. Die Ausführungen, dass die Familie geweint habe, als er nach der Ermordung nach Hause gekommen sei, sei ebenfalls als Realkennzeichnung zu berücksichtigen. Auch der spontane Hinweis auf die Ermordung seiner (Familienangehörigen) als Antwort auf die Frage, ob seine Geschwister als erwachsene Personen nicht selbst entscheiden könnten, spräche für die Glaubwürdigkeit. Bei der Würdigung der Aussagen sei besonders zu berücksichtigen, dass der Beschwerdeführer an einer posttraumatischen Belastungsstörung und einer depressiven Episode leide. Das BFM übersehe zudem, dass die Schilderungen des Beschwerdeführers sehr wohl Details enthalten würden. So habe er angeben können, wo sich der Sicherheitsdienst in A._______ befinden würde. In Bezug auf die Folterungen habe er spontan angeben können, dass ihm mit dem Tode gedroht wurde und dass der Folterknecht Farsi gesprochen habe. Bezüglich der (Verwandten) habe er den Wohnort angeben können. Die Angaben zu den Schlaganfällen seines Vaters sowie den Suizid seiner Schwester seien stets kohärent geschildert worden. Für die Glaubwürdigkeit spräche auch die Angabe, dass der Beschwerdeführer in den Irak zurückkehren und mit seinem Vater und seinen Geschwistern zusammenleben wolle, sobald seine Probleme dort gelöst seien.</w:t>
      </w:r>
    </w:p>
    <w:p>
      <w:r>
        <w:rPr>
          <w:b/>
        </w:rPr>
        <w:t>E. 4.3</w:t>
      </w:r>
    </w:p>
    <w:p>
      <w:r>
        <w:t>Das Bundesverwaltungsgericht teilt die Einschätzung des BFM, sind doch die für die Glaubhaftmachung im Sinne von Art. 7 AsylG geltenden Kriterien (vgl. etwa Entscheidungen und Mitteilungen der Schweizerischen Asylrekurskommission [EMARK] 1996 Nr. 27 E. 3c/aa sowie 1996 Nr. 28 E. 3a) nicht als erfüllt zu erachten. Eine wahrheitsgemässe Schilderung ist demnach gekennzeichnet durch Korrektheit, Originalität, hinreichende Präzision und innere Übereinstimmung. Bei der Beurteilung der Glaubhaftigkeit geht es um eine Gesamtbeurteilung aller Elemente (Übereinstimmung bezüglich des wesentlichen Sachverhalts, Substantiiertheit und Plausibilität der Angaben, persönliche Glaubwürdigkeit, etc.), die für oder gegen den Gesuchsteller sprechen. Glaubhaftigkeit setzt dabei ein Überwiegen der positiven Elemente voraus. Es genügt daher nicht, wenn der Inhalt der Vorbringen zwar möglich ist, die Gesamtbeurteilung aber wesentlich und überwiegend gegen die vorgebrachte Sachverhaltsdarstellung spricht (EMARK 1996 Nr. 28 E. 3a).</w:t>
      </w:r>
    </w:p>
    <w:p>
      <w:r>
        <w:rPr>
          <w:b/>
        </w:rPr>
        <w:t>E. 4.4</w:t>
      </w:r>
    </w:p>
    <w:p>
      <w:r>
        <w:t>Diesbezüglich ist festzustellen, dass der Beschwerdeführer an­lässlich der durchgeführten Anhörungen auf entsprechende, wiederholte Fragen hin keinerlei konkrete Angaben in Bezug auf wesentliche Aspekte seiner angeblichen Fluchtgeschichte vorzubringen vermochte. So wusste der Beschwerdeführer in keiner Weise Auskunft darüber zu geben, unter welchen Umständen seine (Familienangehörige) durch (Verwandte) umgebracht worden sei. Seine Ausführungen beschränken sich auf pauschale Angaben. Auch ist mangels konkreter Angaben in keiner Weise nachvollziehbar, weshalb die (Verwandten) des Beschwerdeführers dessen (Familienangehörige) getötet haben sollen; die blosse Erklärung, diese habe als (Berufsbezeichnung) gearbeitet und sich geschminkt, weshalb sie als ehrlos erachtet worden sei, ist auch unter Berücksichtigung der sozio-kulturellen Gegebenheiten im Nordirak als Erklärung untauglich. Die mit der Beschwerdeschrift vorgebrachte Erklärung, der Beschwerdeführer sei damals unter Schock gestanden und leide ausserdem an einer posttraumatischen Belastungsstörung, weshalb sein Gedächtnis beeinträchtigt sei, vermag nicht zu überzeugen. An dieser Stelle ist allerdings zu erwähnen, dass sich das Bundesverwaltungsgericht sehr wohl bewusst ist, dass die Fähigkeit zur Schilderung traumatischer Ereignisse insbesondere in Bezug auf die exakte zeitliche Einordnung aufgrund der Beeinträchtigung des narrativen Gedächtnisses in solchen Situationen stark beeinträchtigt sein kann. Doch vermag auch dieser Vorbehalt die Oberflächlichkeit der Angaben des Beschwerdeführers nicht überzeugend zu erklären. Der Eindruck der summarischen und pauschalen Schilderung der Geschehnisse gilt auch für die Beantwortung sämtlicher weiteren Fragen, die dem Beschwerdeführer im Rahmen der Anhörungen gestellt wurden. Seine Aussagen erfolgten fast vollständig frei von einer zeitlichen, örtlichen und inhaltlichen Eingliederung und entbehrten auch sonstigen Detaillierungen. Des Weiteren ist - nachdem nicht nachvollziehbar ist, weshalb er durch die genannten (Verwandten) bedroht werden soll - auch nicht glaubhaft, dass er wegen einer Denunziation seitens seiner (Verwandten) als angeblicher iranischer Spion im Nordirak staatlichen Verfolgungsmassnahmen ausgesetzt sei. Die Verhaftungen und Folterungen wurden zudem - wie bereits das BFM ausführte - widersprüchlich geschildert. In der BzP sprach der Beschwerdeführer von zwei Verhaftungen, in der Bundesanhörung von vielen. Auf diesen zentralen Widerspruch angesprochen erklärte der Beschwerdeführer, dass er oft verhaftet, aber nur zweimal gefoltert worden sei und dass er dies bereits bei der BzP so ausgesagt habe (vgl. BFM Akten A1/13, S. 7; A39/18, Frage 145), was den Widerspruch nicht aufzulösen vermag. Befremdend erscheint auch, dass der Beschwerdeführer explizit eine Anhörung in Farsi wünschte, unter anderem da er von Kurden gefoltert worden sei (vgl. A39/18, Frage 2). Paradoxerweise wählte er dadurch aber genau die Sprache, welche der Folterknecht angeblich gesprochen habe (vgl. A39/18, Frage 80) und eigentlich zu erwarten wäre, dass genau diese Sprache ein Trigger für das traumatische Erlebnis darstellen würde, dem ein an PTBS leidendes Opfer von Folterungen gerade eben nicht ausgesetzt sein will. Im Übrigen variieren auch die Angaben über die konkret angewendeten Foltermethoden. Gegenüber der untersuchenden Ärztin berichtete er vor allem von Schlägen in den Hals und Nackenbereich (vgl. Beilage 3 der Beschwerde), wohingegen diese gezielten Schläge in der Bundesanhörung unerwähnt blieben und "lediglich" vom Ausdrücken heisser Spiesse auf seinem Rücken, von Schlägen mit Schläuchen und dem Legen von Eisklötzen auf den Rücken berichtet wurde (A39/18, Frage 90). Die Folterungen wurden überdies in keinem der dem Arztbericht vom 15. Februar 2012 vorangehenden Arztberichte erwähnt (vgl. A40/5). Auch die Angabe zum Grund für die Inhaftierung wurde nicht durchwegs kohärent geschildert: In der BzP gab er zu Protokoll, dass er beschuldigt worden sei, als Spion für die Amerikaner, Iraner oder Iraker, etc. zu arbeiten. In der Bundesanhörung wurde in der zweiten Frage behauptet, der Grund habe in Spionagevorwürfen für die Iraner und Amerikaner gelegen, wobei im Laufe der anschliessenden Befragung durchwegs lediglich von Spionage für den Iran die Rede war.</w:t>
      </w:r>
    </w:p>
    <w:p>
      <w:r>
        <w:rPr>
          <w:b/>
        </w:rPr>
        <w:t>E. 4.5</w:t>
      </w:r>
    </w:p>
    <w:p>
      <w:r>
        <w:t>Aufgrund dieser Erwägungen und in Anbetracht der Vielzahl von Indizien, die gegen ein tatsächliches Erleben der geschilderten Vorkommnisse sprechen, erachtet das Bundesverwaltungsgericht die Vorbringen des Beschwerdeführers als nicht glaubhaft.</w:t>
      </w:r>
    </w:p>
    <w:p>
      <w:r>
        <w:rPr>
          <w:b/>
        </w:rPr>
        <w:t>E. 5</w:t>
      </w:r>
    </w:p>
    <w:p>
      <w:r>
        <w:t>Zusammenfassend ergibt sich, dass der Beschwerdeführer keine Gründe nach Art. 3 AsylG nachweisen oder glaubhaft machen konnte. Die Vorinstanz hat die Flüchtlingseigenschaft demnach im Ergebnis zu Recht verneint und das Asylgesuch abgelehnt.</w:t>
      </w:r>
    </w:p>
    <w:p>
      <w:r>
        <w:rPr>
          <w:b/>
        </w:rPr>
        <w:t>E. 6.1</w:t>
      </w:r>
    </w:p>
    <w:p>
      <w:r>
        <w:t>Lehnt das Bundesamt das Asylgesuch ab oder tritt es darauf nicht ein, so verfügt es in der Regel die Wegweisung aus der Schweiz und ordnet den Vollzug an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Wie bereits ausgeführt erachtet das Gericht das Vorbringen des Beschwerdeführers, er sei gefoltert worden, als nicht glaubhaft.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Die Vorinstanz führte in diesem Punkt aus, dass in der Herkunftsprovinz X._______, aus welcher der Beschwerdeführer stammt, keine Situation allgemeiner Gewalt herrsche und der Wegweisungsvollzug daher grundsätzlich zumutbar sei. Zudem sprächen auch keine individuellen Gründe gegen die Zumutbarkeit des Vollzugs, da es sich beim Beschwerdeführer um einen jungen Mann handle, der keine gravierenden gesundheitlichen Probleme aufweise. In A._______ würden überdies zwei Geschwister sowie der Vater des Beschwerdeführers leben, so dass er dort über ein intaktes Beziehungsnetz verfüge.</w:t>
      </w:r>
    </w:p>
    <w:p>
      <w:r>
        <w:rPr>
          <w:b/>
        </w:rPr>
        <w:t>E. 7.6</w:t>
      </w:r>
    </w:p>
    <w:p>
      <w:r>
        <w:t>Der Beschwerdeführer wendet diesbezüglich ein, dass er erhebliche gesundheitliche Probleme, insbesondere psychische Beschwerden, aufweise. Die medizinische Versorgungslage im Nordirak sei für die Behandlung psychischer Krankheiten unzureichend. Psychisch Kranke werden überdies stigmatisiert. Ebenfalls verkenne das BFM, dass der Beschwerdeführer über kein intaktes Sozialnetz verfüge. Der Vater sei nach seinen beiden Schlaganfällen pflegebedürftig und der Beschwerdeführer müsse weiterhin mit Übergriffen seitens seiner (Verwandten) rechnen.</w:t>
      </w:r>
    </w:p>
    <w:p>
      <w:r>
        <w:rPr>
          <w:b/>
        </w:rPr>
        <w:t>E. 7.7</w:t>
      </w:r>
    </w:p>
    <w:p>
      <w:r>
        <w:t>Wie die Vorinstanz zutreffend ausführte, ist der Wegweisungsvollzug in die drei kurdischen Provinzen im Nordirak für einen alleinstehenden, jungen und gesunden kurdischen Mann, der über ein tragfähiges Beziehungsnetz verfügt grundsätzlich zulässig. Eine Einzelfallprüfung bleibt jedoch vorbehalten und bei Kranken und Betagten ist die Zumutbarkeit daher nur mit grosser Zurückhaltung anzunehmen (BVGE 2008/5 E. 7.5.8. S. 72 f.).</w:t>
      </w:r>
    </w:p>
    <w:p>
      <w:r>
        <w:rPr>
          <w:b/>
        </w:rPr>
        <w:t>E. 7.8</w:t>
      </w:r>
    </w:p>
    <w:p>
      <w:r>
        <w:t>Gemäss dem mit der Beschwerde eingereichte Arztbericht vom 15. Februar 2012 leidet der Beschwerdeführer an einer posttraumatischen Belastungsstörung, einer depressiven Entwicklung, einem massiven myofaszialen Schmerzsyndrom und Cervicovertebralsyndrom und einem Verdacht auf gastroösophagealem Reflux sowie Colon irritabile (Reizdarmsyndrom), Schwindel, Schlaflosigkeit und klagt seit Anfang 2012 über Schmerzen im Bereich der Kieferhöhlen und Problemen mit der Nasenatmung (vgl. Beilage 3 der Beschwerde). Auch die früheren Arztberichte erwähnen den Verdacht auf gastroösophagealen Reflux und Colon irritabile sowie das Cervicalsyndrom und das myofasziale Schmerzsyndrom. Die psychischen Beschwerden bleiben in diesen Arztberichten jedoch unerwähnt (vgl. A38/3).</w:t>
      </w:r>
    </w:p>
    <w:p>
      <w:r>
        <w:rPr>
          <w:b/>
        </w:rPr>
        <w:t>E. 7.9</w:t>
      </w:r>
    </w:p>
    <w:p>
      <w:r>
        <w:t>Hinsichtlich der körperlichen Beschwerden kann festgehalten werden, dass diese nicht derart gravierend sind, um den Vollzug der Wegweisung als unzumutbar erscheinen zu lassen, handelt es sich dabei doch im Wesentlichen um Reizungen des Darms (Reizdarm), Sodbrennen und Bauchschmerzen (gastroösophagealer Reflux), Schmerzen im Bereich des Kopfes und im Nackenbereich (cervicovertebrales Syndrom/myofasziales Schmerzsyndrom), Probleme mit der Nasenatmung, Schwindel und Schlaflosigkeit.</w:t>
      </w:r>
    </w:p>
    <w:p>
      <w:r>
        <w:rPr>
          <w:b/>
        </w:rPr>
        <w:t>E. 7.10</w:t>
      </w:r>
    </w:p>
    <w:p>
      <w:r>
        <w:t>Soweit der zuletzt eingereichte Arztbericht ausführt, dass eine Rückkehr mit grosser Wahrscheinlichkeit aufgrund der erlittenen Folterungen zu einer psychischen Dekompensation führen würde, ist auf die vorstehende E. 4.4 zu verweisen, wonach die Vorbringen des Beschwerdeführers über die angeblichen Misshandlungen einer Überprüfung nicht standhalten und sich als unglaubhaft erweisen. Da sich die diagnostizierten psychischen Leiden (depressive Entwicklung und die posttraumatische Belastungsstörung) auf beweismässig nicht erstellte Ursachen stützt, vermag die Diagnose insofern nicht zu überzeugen und die entsprechenden Befürchtungen erscheinen daher unbegründet. Betreffend der psychischen Leiden ist das Gericht vielmehr der Ansicht, dass diese (zur Hauptsache) auf den negativen Asylentscheid zurückzuführen sind und somit eine Reaktion auf die drohende Ausschaffung darstellen. So wurden diese Leiden beim Beschwerdeführer trotz medizinischer Betreuung erst nach dem negativen Asylentscheid diagnostiziert. Einer mit der Rückschaffung einhergehenden psychischen Dekompensation kann mit einer geeigneten psychiatrischen Betreuung im Zeitraum der Rückschaffung begegnet werden. In diesem Zusammenhang ist auch festzuhalten, dass im Norden des Iraks nicht vom Fehlen psychiatrischer Betreuungsmöglichkeiten und medikamentöser Behandlung auszugehen ist (vgl. dazu Urteil des Bundesverwaltungsgerichts D-5633/2008 vom 22. Juli 2011 E. 7.3.5.). Sollten nach der Rückkehr etwaige psychische Probleme anhalten, so bestände - gegebenenfalls mit finanzieller Unterstützung im Rahmen einer medizinischen Rückkehrhilfe i.S.v. Art. 93 Abs. 1 Bst. d AsylG - die Möglichkeit, entsprechende medizinische Angebote in Anspruch zu nehmen. Mithin sprechen auch keine medizinischen Gründe gegen die Zumutbarkeit des Wegweisungsvollzugs.</w:t>
      </w:r>
    </w:p>
    <w:p>
      <w:r>
        <w:rPr>
          <w:b/>
        </w:rPr>
        <w:t>E. 7.11</w:t>
      </w:r>
    </w:p>
    <w:p>
      <w:r>
        <w:t>Gemäss dem jüngsten Arztbericht ist zwar der Vater des Beschwerdeführers mittlerweile infolge einer chronisch venösen Insuffizienz (CVI) oder eines Herzinfarktes gestorben. Mit seinen beiden Geschwistern verfügt der Beschwerdeführer jedoch noch über soziale Kontakte, die ihm eine Rückkehr in die Heimat ermöglichen.</w:t>
      </w:r>
    </w:p>
    <w:p>
      <w:r>
        <w:rPr>
          <w:b/>
        </w:rPr>
        <w:t>E. 7.12</w:t>
      </w:r>
    </w:p>
    <w:p>
      <w:r>
        <w:t>Nach dem Gesagten erweist sich der Vollzug der Wegweisung als zumutbar.</w:t>
      </w:r>
    </w:p>
    <w:p>
      <w:r>
        <w:rPr>
          <w:b/>
        </w:rPr>
        <w:t>E. 7.13</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von insgesamt Fr. 600.- dem Beschwerdeführer aufzuerlegen (Art. 63 Abs. 1 und 5 VwVG; Art. 1-3 des Reglements vom 21. Februar 2008 über die Kosten und Entschädigungen vor dem Bundesverwaltungsgericht [VGKE, SR 173.320.2]) und mit dem am 14. März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