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D-100/2013 vom 29. April 2013</w:t>
      </w:r>
    </w:p>
    <w:p>
      <w:r>
        <w:t>Bundesverwaltungsgericht, 2013-04-29, DE</w:t>
      </w:r>
    </w:p>
    <w:p>
      <w:r>
        <w:rPr>
          <w:b/>
        </w:rPr>
        <w:t xml:space="preserve">Quelle: </w:t>
      </w:r>
      <w:r>
        <w:t>https://mcp.opencaselaw.ch/entscheid/bvger_D-100_2013</w:t>
      </w:r>
    </w:p>
    <w:p>
      <w:r>
        <w:t>FR: TAF D-100/2013 du 29 avril 2013</w:t>
      </w:r>
    </w:p>
    <w:p>
      <w:r>
        <w:t>IT: TAF D-100/2013 del 29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in ausführlichen Erwägungen, auf welche verwie­sen werden kann, aufgezeigt, dass die vom Beschwerdeführer geltend ge­machten Ausreiseumstände beziehungsweise die Schwierigkeiten mit den Behörden aufgrund widersprüchlicher und realitätsfremder Schilderun­gen als unglaubhaft erscheinen. Insbesondere legte das BFM ausführlich dar, weshalb es dem Beschwerdeführer nicht geglaubt werden kann, dass er trotz erteilter Ausreisegenehmigung illegal ausgereist sei und als Deserteur gelte. In der Beschwerde fehlen kon­krete Argumente für eine andere Sichtweise. Auch die eingereichten Be­weismittel vermögen keinen flüchtlingsrechtlich relevanten Hintergrund seiner vorgebrachten Probleme im Heimatland glaubhaft zu machen.</w:t>
      </w:r>
    </w:p>
    <w:p>
      <w:r>
        <w:rPr>
          <w:b/>
        </w:rPr>
        <w:t>E. 4.2</w:t>
      </w:r>
    </w:p>
    <w:p>
      <w:r>
        <w:t>Zusammenfassend ist festzustellen, dass die Vorbringen des Be­schwer­de­führers den Anforderungen von Art. 3 AsylG an die Flüchtlings­ei­genschaft nicht genügen. Das BFM hat das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generell unzuläs­sig erscheinen. 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in Situationen wie Krieg, Bür­ger­krieg, allgemeiner Gewalt und medizinischer Notlage im Heimat- oder Her­kunftsstaat konkret gefährdet sind. Laut Art. 83 Abs. 2 AuG ist der Voll­zug nicht möglich, wenn die Ausländerin oder der Ausländer weder in den Heimat- oder in den Herkunftsstaat noch in einen Drittstaat ausreisen oder dorthin gebracht werden kann.</w:t>
      </w:r>
    </w:p>
    <w:p>
      <w:r>
        <w:rPr>
          <w:b/>
        </w:rPr>
        <w:t>E. 7.2</w:t>
      </w:r>
    </w:p>
    <w:p>
      <w:r>
        <w:t>Gemäss Praxis ist das Bundesverwaltungsgericht an die rechtliche Begründung der vorinstanzlichen Verfügung nicht gebunden; es kann eine angefochtene Verfügung im Ergebnis gleich belassen, dieser aber eine andere Begründung zugrunde legen (Motivsubstitution).</w:t>
      </w:r>
    </w:p>
    <w:p>
      <w:r>
        <w:rPr>
          <w:b/>
        </w:rPr>
        <w:t>E. 7.3.1</w:t>
      </w:r>
    </w:p>
    <w:p>
      <w:r>
        <w:t>Aus den Akten geht hervor, dass der Beschwerdeführer im April 2009 durch das kantonale Strafgericht in D._______ unter anderem wegen mehrfachen Raubes und Vergewaltigung zu einer 20-monatigen Gefängnisstrafe verurteilt wurde. Diese Strafe hat er ge­mäss eigenen Angaben verbüsst (vgl. A 1/8 S. 6; A 3/4; A 87/10 Antwort 11 f.). Gemäss dem Vorbehalt von Art. 83 Abs. 7 AuG wird die vorläufige Auf­nahme nach den Absätzen 2 und 4 (wegen Unmöglichkeit beziehungs­weise Unzumutbarkeit des Wegweisungsvollzugs) unter anderem dann nicht verfügt, wenn die weg- oder ausgewiesene Person zu einer längerfristigen Freiheitsstrafe im In- oder Ausland verurteilt wurde oder wenn gegen sie eine strafrechtliche Massnahme in Sinne von Art. 64 oder 61 des Schweize­rischen Strafgesetzbuchs vom 21. Dezember 1937 (StGB, SR 311.0) angeordnet wurde.</w:t>
      </w:r>
    </w:p>
    <w:p>
      <w:r>
        <w:rPr>
          <w:b/>
        </w:rPr>
        <w:t>E. 7.3.2</w:t>
      </w:r>
    </w:p>
    <w:p>
      <w:r>
        <w:t>Dem Beschwerdeführer wurde mit Verfügung des Bundesverwaltungsgerichts vom 22. März 2013 praxisgemäss das rechtliche Gehör zur möglichen Anwendung dieser Norm gewährt. Diese Verfügung wurde zwar vom Beschwerdeführer bei der Post nicht abgeholt, da sie jedoch an die zuletzt bekannte Adresse verschickt worden war, gilt sie als ordnungsgemäss zugestellt (vgl. Art. 12 Abs. 1 AsylG).</w:t>
      </w:r>
    </w:p>
    <w:p>
      <w:r>
        <w:rPr>
          <w:b/>
        </w:rPr>
        <w:t>E. 7.3.3</w:t>
      </w:r>
    </w:p>
    <w:p>
      <w:r>
        <w:t>Art. 83 Abs. 7 Bst. a AuG setzt namentlich voraus, dass eine Per­son zu einer längerfristigen Freiheitsstrafe im In- oder Ausland "verurteilt wurde", womit diese Bestim­mung bei Vorliegen eines rechtskräftigen Ur­teils zur Anwendung gelan­gen kann. Der Begriff der "längerfristigen Frei­heitsstrafe" wird demgegen­über vom Gesetzgeber nicht näher definiert. Das Bundesgericht hat den Begriff der "längerfristigen Freiheitsstrafe" im Sinne von Art. 62 Bst. b AuG (und damit auch den gleichlautenden Begriff von Art. 83 Abs. 7 Bst. a AuG) dahingehend konkretisiert, dass darunter - im Sinne eines festen Grenzwertes - eine Freiheitsstrafe von mehr als ei­nem Jahr zu verstehen ist (vgl. BGE 135 II 377 E. 4.2 S. 379 f.). Dieser Pra­xis folgt das Bundesverwaltungsgericht im Bereich seiner endgültigen Entscheidkompetenz (vgl. dazu das Urteil D-1972/2009 vom 11. August 2011 E. 4.4 S. 9 f., Urteil E-7756/2010 vom 25. Februar 2011 E. 6.1 S. 8 f.). In Anbetracht der verfügten eineinhalbjährigen Haftstrafe ist Art. 83 Abs. 7 demnach grundsätzlich anwendbar.</w:t>
      </w:r>
    </w:p>
    <w:p>
      <w:r>
        <w:rPr>
          <w:b/>
        </w:rPr>
        <w:t>E. 7.3.4</w:t>
      </w:r>
    </w:p>
    <w:p>
      <w:r>
        <w:t>Im Weiteren ist jedoch das Verhältnismässigkeitsprinzip zu beach­ten. Dieses Prinzip (das einen allgemeinen Grundsatz staatlichen Han­delns bildet, vgl. Art. 5 Abs. 2 BV)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w:t>
      </w:r>
    </w:p>
    <w:p>
      <w:r>
        <w:rPr>
          <w:b/>
        </w:rPr>
        <w:t>E. 7.3.4.1</w:t>
      </w:r>
    </w:p>
    <w:p>
      <w:r>
        <w:t>Der Beschwerdeführer ist nebst seiner Verurteilung wegen Raubes und Vergewaltigung schon wiederholt strafrechtlich in Erscheinung getreten (vgl. dazu das Ur­teil des E._______ vom 16. Dezember 2009: Ableh­nung des Rekurses im Zusammenhang mit dem Widerruf der C-Bewil­ligung, wobei sich dieser Entscheid auf den im Wesentlichen gleichlautenden Art. 62 Bst. b AuG stützte). Auch nach der Haftverbüssung wurde er erneut in Untersuchungshaft genommen (A 77/7; A 80/1; A 84/1). Die Tatsa­che, dass er rechtskräftig zu einer längerfristigen Freiheitsstrafe verur­teilt wurde und schon zuvor wiederholt straffällig war, lässt per se das öffentliche Interesse am Wegweisungsvollzug und damit an der Nichtgewährung der vorläufigen Aufnahme des Beschwerdeführers als gewichtig erscheinen. Argumente für eine allfällig andere Sichtweise fehlen, vielmehr ergeben sich aus den Akten auch aus heutiger Sicht gewichtige Zweifel, dass es dem Beschwerdeführer in Zukunft gelingen wird, sich an die schweizerische Rechtsordnung zu halten.</w:t>
      </w:r>
    </w:p>
    <w:p>
      <w:r>
        <w:rPr>
          <w:b/>
        </w:rPr>
        <w:t>E. 7.3.4.2</w:t>
      </w:r>
    </w:p>
    <w:p>
      <w:r>
        <w:t>Dem öffentlichen Interesse sind die privaten Interessen des Beschwer­deführers gegenüberzustellen. Dabei ist zwar zu berücksichti­gen, dass er sich seit 1998 und damit seit langer Zeit offenbar überwie­gend in der Schweiz aufhielt. Indessen bestehen aufgrund der Aktenlage keine Anhaltspunkte auf eine der langen Anwesenheitsdauer entspre­chende Integration. Seine Ehe wurde geschieden. Dass er sich seither in integrati­ver Hinsicht positiv hervorgetan hätte, kann den verfügbaren Ak­ten nicht entnommen werden. Auch ergeben sich aus der allgemeinen und individuellen Situation des Beschwerdeführers in seinem Herkunftsland keine hinreichend konkreten Anhaltspunkte darauf, dass er dort einer offensichtlichen Gefährdung ausgesetzt wäre. Entsprechende Vorbringen wurden im Asylpunkt für unglaubhaft erachtet. Nach dem Gesagten lassen sich keine gewichtigen privaten Interessen erkennen, die für den Verbleib in der Schweiz sprechen würden.</w:t>
      </w:r>
    </w:p>
    <w:p>
      <w:r>
        <w:rPr>
          <w:b/>
        </w:rPr>
        <w:t>E. 7.3.4.3</w:t>
      </w:r>
    </w:p>
    <w:p>
      <w:r>
        <w:t>Nach einer Gesamtabwägung der Interessen ergibt sich, dass ins­gesamt das öffentliche Interesse am Wegweisungsvollzug das private Inte­resse des Beschwerdeführers am weiteren Verbleib überwiegt. Die An­wendung von Art. Art. 83 Abs. 7 Bst. a AuG ist somit verhältnismässig.</w:t>
      </w:r>
    </w:p>
    <w:p>
      <w:r>
        <w:rPr>
          <w:b/>
        </w:rPr>
        <w:t>E. 7.3.5</w:t>
      </w:r>
    </w:p>
    <w:p>
      <w:r>
        <w:t>Aufgrund dieser Erwägungen kann die Frage offen bleiben, ob der Vollzug der Wegweisung nach Kuba unzumutbar oder unmöglich erscheint, da die entsprechende Anordnung einer vorläufigen Aufnahme ohnehin aufgrund von Art. 83 Abs. 7 Bst. a AuG ausgeschlossen bleiben muss.</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Aus den Akten ergeben sich keine Hinweise auf eine erfolgte Datenweitergabe an die heimatlichen Behörden beziehungsweise hat der Beschwerdeführer seinerseits mit den kubanischen Vertretung in der Schweiz Kontakt aufgenommen. Sein Gesuch um entsprechende Informationen im Rahmen einer separaten Verfügung ist damit gegenstandslos.</w:t>
      </w:r>
    </w:p>
    <w:p>
      <w:r>
        <w:rPr>
          <w:b/>
        </w:rPr>
        <w:t>E. 10</w:t>
      </w:r>
    </w:p>
    <w:p>
      <w:r>
        <w:t>Bei diesem Ausgang des Verfahrens wären die Kosten grund­sätzlich dem Beschwerdeführer aufzuerlegen (Art. 63 Abs. 1 VwVG). Da das Gesuch im Sinne von Art. 65 Abs. 1 VwVG mit Zwischenverfügung vom 16. Ja­nuar 2013 gutgeheissen wurde und sich aus den Akten keine Verände­rung seiner finanziellen Situation ergibt,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