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D-1007/2016 vom 26. August 2016</w:t>
      </w:r>
    </w:p>
    <w:p>
      <w:r>
        <w:t>Bundesverwaltungsgericht, 2016-08-26, DE</w:t>
      </w:r>
    </w:p>
    <w:p>
      <w:r>
        <w:rPr>
          <w:b/>
        </w:rPr>
        <w:t xml:space="preserve">Quelle: </w:t>
      </w:r>
      <w:r>
        <w:t>https://mcp.opencaselaw.ch/entscheid/bvger_D-1007_2016</w:t>
      </w:r>
    </w:p>
    <w:p>
      <w:r>
        <w:t>FR: TAF D-1007/2016 du 26 août 2016</w:t>
      </w:r>
    </w:p>
    <w:p>
      <w:r>
        <w:t>IT: TAF D-1007/2016 del 26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Beschwerdeführerin macht geltend, sie sei anlässlich der Anhörung sehr nervös gewesen. Der Übersetzer habe sie aufgefordert, nicht so viel zu sprechen. In der Replik bringt sie vor, es sei auch zu sprachlichen Verständigungsproblemen gekommen. Aus den Akten geht aber hervor, dass sie den Dolmetscher gut verstand (vgl. A 14/23 Antwort 2). Am Schluss der Anhörung bestätigte sie unterschriftlich die Korrektheit des ihr rückübersetzten Protokolls. Die Hilfswerkvertretung formulierte im Beiblatt keine Einwände. Entsprechend kann sich das Gericht auf die protokollierten Aussagen ohne Einschränkungen abstützen. Der Vorhalt in der Replik, die Hilfswerkvertretung habe dem Gespräch nicht folgen können, ist in Anbetracht der vorliegenden Umstände nicht nachvollziehbar, da ja eine deutschsprachige Übersetzung erfolgte. Im Weiteren werden die beim SEM eingesetzten dolmetschenden Personen vor ihrer Anstellung hinsichtlich ihrer fachlichen Fähigkeiten eingehend überprüft. Dass der Dolmetscher aufgrund des Dialekts der Beschwerdeführerin vieles falsch oder gar nicht verstanden habe und diese ungerechtfertigterweise zur Kürze angehalten habe, geht aus dem Protokoll nicht hervor und erscheint als pauschalisierende Behauptung. Die erwähnten Beweismittel im Zusammenhang mit der Sprache der Beschwerdeführerin sind somit nicht geeignet, die festgestellte Korrektheit des Anhörungsprotokolls in Frage zu stellen. Im Übrigen bestätigte die Beschwerdeführerin auch anlässlich der summarischen Befragung, dass sie die dolmetschende Person gut verstanden habe und das Protokoll ihren Aussagen und der Wahrheit entspreche. Die sinngemäss gerügten Gehörsverletzungen bestehen mithin nicht.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w:t>
      </w:r>
    </w:p>
    <w:p>
      <w:r>
        <w:t>Die Vorinstanz zweifelt grundsätzlich an der Anhängerschaft der Beschwerdeführerin bei der religiösen Gemeinschaft der D._______. Sie verfüge nur über sehr beschränkte Kenntnisse dieser Glaubensgemeinschaft und habe entsprechende Fragen oberflächlich, äusserst vage und wiederholt abschweifend beantwortet. Diese Sichtweise vermag nur bedingt zu überzeugen. Dem SEM ist anzulasten, dass es in diesem Zusammenhang in eher pauschaler Weise auf die aus seiner Sicht mangelnde Kenntnis der Beschwerdeführerin von Glaubensbelangen hinweist, ohne dabei zu verdeutlichen, welche Substanziierungen oder Konkretisierungen sie von einer Person dieses Glaubens erwartet hätte (vgl. A 16/7 S. 3). Eine Durchsicht der relevanten Protokollstellen ergibt nämlich, dass die Beschwerdeführerin teilweise in der Lage war, Aussagen von einer gewissen Differenziertheit zu machen (vgl. A 14/23 Antworten 126 ff.; demgegenüber aber auch a.a.O. Antworten 50 ff, wo sie sehr kurz antwortete). Vor diesem Hintergrund ist nicht auszuschliessen, dass sie sich im Netz mit dieser Glaubensrichtung befasste, und zwar nicht nur nach der Ausreise aus asyltaktischen Motiven. In Anbetracht ihres sonstigen Aussageverhaltens gelang es ihr aber nicht, Aktivitäten im Sinne einer gelebten Mitgliedschaft bei dieser religiösen Gruppierung vor Ort verbunden mit behördlicher Verfolgung glaubhaft zu machen. In diesem Zusammenhang sind ihre Aussagen in der Tat wiederholt ungereimt und unsubstanziiert ausgefallen. So fällt vorab auf, dass ihre angegebene Religion zu Beginn der Summarbefragung als christlich (allgemein) mit protestantischer Konfession erfasst wurde (vgl. A 5/12 S. 3). Von einem überzeugten Mitglied der D._______ hätte indes erwartet werden können, dass bereits zu diesem Zeitpunkt eine genauere, beziehungsweise zutreffende Angabe erfolgt wäre. Ferner legte sie zuerst dar, im Falle der Rückkehr müsse sie eventuell mit einer Verhaftung rechnen. Wenig später führte sie aus, sie habe gehört, in der Stadt seien überall Fotos mit ihrem Namen im Zusammenhang mit der Suche nach ihr plakatiert worden (a.a.O. S. 8 f.). Diese nachträglichen Vorbringen stehen offensichtlich im Widerspruch zu der zuvor nur eventuell befürchteten Festnahme und lassen das Bild eines Verfolgungskonstrukts ohne realen Hintergrund aufkommen. Dies umso mehr, als sie anlässlich der Anhörung keine konkreteren Angaben zur Fahndung mit ihren Fotos machte und angab, es sei ihr "alles nur so erzählt" worden (A 14/23 Antwort 124). Eher bizarr mutet sodann ihre Aussage an, wie es ihr unter anderem gelungen sein soll, einer Festnahme zu entgehen. Jedenfalls wäre im Falle eines tatsächlich erfolgenden Verhaftungsversuchs davon auszugehen gewesen, dass sich die Sicherheitskräfte durch eine geschlossene Tür nicht hätten täuschen lassen und die Verhaftung so unterblieben wäre (A 14/23 Antwort 114). Hinzu kommen substanzlose Schilderungen der angeblichen Treffen mit Gläubigen und zu erfolgten Festnahmen (a.a.O. Antworten 78 ff.). Im Zusammenhang mit ihren Angehörigen gab sie bei der Befragung an, nur eine Schwester sei eine Glaubensgenossin. Im Rahmen der Anhörung führte sie indes aus, alle Familienmitglieder seien Gläubige, weshalb die Polizei im elterlichen Haus nach ihr gesucht habe. Später korrigierte sie sich wieder und bezeichnete nur eine Schwester als Mitglied der Glaubensgemeinschaft (A 5/12 S. 7 unten; A 14/23 Antworten 24 und 41). Widersprüchlich sind ihre Angaben zur angeblichen Anschwärzung durch ihren Exmann bei den Behörden ausgefallen. Abgesehen davon, dass ihre Schilderungen zum angeblichen Verrat anlässlich der Befragung ausgesprochen konstruiert wirken, verneinte sie anlässlich der Anhörung vorerst, dass ein solcher stattgefunden habe, um auf Vorhalt wieder im Sinne der Aussage bei der BzP zu argumentieren (A 5/12. S. 8; A 14/23 Antworten 100 ff.). Gegen eine relevante Verfolgungsmotivation sprechen schliesslich auch ihre Reiseumstände, wobei diesbezüglich vollumfänglich auf die vor­instanzlichen Erwägungen verwiesen werden kann. Weder zu Letzterem noch den vorstehend erwähnten Unglaubhaftigkeitselementen vermochte die Beschwerdeführerin stichhaltige Beschwerdegegenargumente zu formulieren. Dass ihr der Pass postalisch zugestellt worden sei, ändert nichts an der Unglaubhaftigkeit der behördlichen Verhaftungsabsicht, da sie zur Erlangung des Dokuments ja persönlich vorgesprochen hatte. Der Einwand in der Eingabe vom 29. März 2016, sie habe damals nicht auf einer Fahndungsliste gestanden, ist unter anderem kaum vereinbar mit ihrer anderen Aussage, der Ehemann habe sie bereits im August 2014 bei den Behörden angeschwärzt (vgl. A 5/12 S. 8). Zudem fand die Ausreise mit dem Dokument ja erst im April 2015 statt und demnach zu einem Zeitpunkt, als man angeblich nach ihr gefahndet habe. Ihre psychische Befindlichkeit anlässlich der Anhörung und landeskulturelle Zurückhaltung bei Aussagen vor Behörden lassen ebenfalls nicht darauf schliessen, dass sie aus nachvollziehbaren Gründen nicht in der Lage gewesen wäre, adäquate Aussagen zu machen, sollte sie tatsächlich in der geschilderten Art verfolgt worden sein, zumal sie ja über die behördliche Verschwiegenheitspflicht in Kenntnis gesetzt worden war. Auch die eingereichten Beweismittel rechtfertigen keine andere Einschätzung, betreffen sie doch gemäss vorinstanzlicher Vernehmlassung insbesondere die allgemeine Lage vor Ort. Soweit auch Bestätigungsschreiben für die angebliche religiöse Zugehörigkeit eingereicht wurden, sind sie in Anbetracht der Fallumstände als blosse Gefälligkeiten zu werten. Anzufügen bleibt, dass es auch ihrem Reisegefährten (N [...]) nicht gelang, im Asylverfahren seine Mitgliedschaft bei der geltend gemachten religiösen Gemeinschaft glaubhaft zu machen.</w:t>
      </w:r>
    </w:p>
    <w:p>
      <w:r>
        <w:rPr>
          <w:b/>
        </w:rPr>
        <w:t>E. 6</w:t>
      </w:r>
    </w:p>
    <w:p>
      <w:r>
        <w:t>Unter Berücksichtigung der gesamten Umstände folgt, dass die Beschwerdeführerin keine Gründe nach Art. 3 AsylG nachweisen oder glaubhaft machen konnte. Die Beschwerdevorbringen rechtfertigen keine andere Einschätzung. Auch das Vorliegen allfälliger subjektiver Nachfluchtgründe ist im Sinne der Erwägungen des SEM zur Zulässigkeit des Wegweisungsvollzugs zu verneinen. Die Vorinstanz hat die Flüchtlingseigen­schaft zu Recht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landesweit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8.5.1</w:t>
      </w:r>
    </w:p>
    <w:p>
      <w:r>
        <w:t>Das Bundesverwaltungsgericht geht davon aus, dass die all­ge­mei­ne Lage in China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8.5.2</w:t>
      </w:r>
    </w:p>
    <w:p>
      <w:r>
        <w:t>Die Beschwerdeführerin verfügt vor Ort über soziale Anknüpfungspunkte und verfügt über Arbeitserfahrung in einer Fabrik. Ein gewisser finanzieller Rückhalt der Familie scheint vorhanden zu sein. Relevante gesundheitliche Probleme gehen aus den Akten nicht hervor. Es ist entsprechend nicht davon aus­zugehen, dass sie nach ihrer Rückkehr nach China dort in eine exis­tenzgefähr­dende Situation gerät.</w:t>
      </w:r>
    </w:p>
    <w:p>
      <w:r>
        <w:rPr>
          <w:b/>
        </w:rPr>
        <w:t>E. 8.5.3</w:t>
      </w:r>
    </w:p>
    <w:p>
      <w:r>
        <w:t>Nach dem Gesagten erweist sich der Vollzug der Wegweisung auch als zumutbar.</w:t>
      </w:r>
    </w:p>
    <w:p>
      <w:r>
        <w:rPr>
          <w:b/>
        </w:rPr>
        <w:t>E. 8.6</w:t>
      </w:r>
    </w:p>
    <w:p>
      <w:r>
        <w:t>Schliesslich obliegt es der Beschwerdeführerin, sich im Bedarfsfall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Nachdem ihr Ge­such im Sinne von Art. 65 Abs. 1 VwVG mit Zwischenverfügung vom 8. April 2016 gutgeheissen wurde und sich ihre finanzielle Situation seit­her nicht ent­scheidwesentlich verändert hat,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