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D-1006/2010 vom 24. Februar 2010</w:t>
      </w:r>
    </w:p>
    <w:p>
      <w:r>
        <w:t>Bundesverwaltungsgericht, 2010-02-24, DE</w:t>
      </w:r>
    </w:p>
    <w:p>
      <w:r>
        <w:rPr>
          <w:b/>
        </w:rPr>
        <w:t xml:space="preserve">Quelle: </w:t>
      </w:r>
      <w:r>
        <w:t>https://mcp.opencaselaw.ch/entscheid/bvger_D-1006_2010</w:t>
      </w:r>
    </w:p>
    <w:p>
      <w:r>
        <w:t>FR: TAF D-1006/2010 du 24 février 2010</w:t>
      </w:r>
    </w:p>
    <w:p>
      <w:r>
        <w:t>IT: TAF D-1006/2010 del 24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vom 18. Januar 2010 substanziiert und mit Angabe der jeweiligen Fundstellen im Befragungsprotokoll (A1) und/oder den beiden Anhörungsprotokollen (A10 und A15) dargelegt, dass der Beschwerdeführer nicht ansatzweise in der Lage gewesen sei, nähere Angaben über die potenziellen Verfolger zu machen. Das offensichtliche Desinteresse des Beschwerdeführers an den Ereignissen und deren Hintergründen sei mit der geltend gemachten Gefährdung nicht zu vereinbaren. Die eingereichten Beweismittel seien nicht geeignet, die insgesamt unsubstanziierten und nicht überzeugenden Aussagen des Beschwerdeführers zu untermauern. Die eingereichten Zeitungsartikel enthielten keine Namensnennung des Beschwerdeführers. Dieser habe auch auf wiederholte Aufforderung hin keine Unterlagen beigebracht, die eine familiäre Beziehung zum Täter belegen würden. Weder habe er eine Urteilskopie der Verurteilung seines Bruders eingereicht noch Unterlagen, die Aufschluss über die familiären Verhältnisse geben würden. Überdies habe sich die eingereichte Identitätskarte nach interner Überprüfung als Fälschung herausgestellt. Vor diesem Hintergrund hat das BFM festgestellt, dass die Vorbringen des Beschwerdeführers somit die Anforderungen an die Glaubhaftmachung gemäss Art. 7 AsylG nicht erfüllten und sein Asylgesuch abzulehnen sei.</w:t>
      </w:r>
    </w:p>
    <w:p>
      <w:r>
        <w:rPr>
          <w:b/>
        </w:rPr>
        <w:t>E. 5.2</w:t>
      </w:r>
    </w:p>
    <w:p>
      <w:r>
        <w:t>Für das Bundesverwaltungsgericht besteht nach Überprüfung der Akten keine Veranlassung, die Erwägungen des BFM zu beanstanden. Um Wiederholungen zu vermeiden, kann daher vorab auf die zutreffenden vorinstanzlichen Ausführungen in der angefochtenen Verfügung verwiesen werden. Die Vorbringen in der Rechtsmitteleingabe vom 18. Februar 2010 sind nicht geeignet, eine Änderung der vorinstanzlichen Verfügung zu bewirken. Der Argumentation des BFM werden keine stichhaltigen Gründe entgegengesetzt. Eine Auseinandersetzung mit den dem Beschwerdeführer vorgeworfenen Unglaubhaftigkeitselementen unterbleibt zwar nicht grundsätzlich, die Vorbringen verlaufen jedoch in allgemeine Ausführungen, die mit keinerlei stichhaltigen Argumenten gestützt werden. Darüber hinaus hat der Beschwerdeführer eine gefälschte irakische Identitätskarte eingereicht und damit ein weiteres Indiz für die Unglaubhaftigkeit seiner Vorbringen geschaffen. Die gefälschte Identitätskarte bleibt mithin gestützt auf Art. 10 Abs. 4 AsylG eingezogen.</w:t>
      </w:r>
    </w:p>
    <w:p>
      <w:r>
        <w:rPr>
          <w:b/>
        </w:rPr>
        <w:t>E. 5.3</w:t>
      </w:r>
    </w:p>
    <w:p>
      <w:r>
        <w:t>Das Bundesverwaltungsgericht kommt somit nach einer Prüfung der Akten und der Rechtsmitteleingabe zum Schluss, dass die Ausführungen in der Beschwerde nicht geeignet sind, die Erwägungen der Vorinstanz zu entkräften. Die Vorbringen des Beschwerdeführers erfüllen weder die Anforderungen an die Flüchtlingseigenschaft nach Art. 3 AsylG noch diejenigen an die Glaubhaftmachung gemäss Art. 7 AsylG. Demzufolge hat das BFM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hat sich im Grundsatzurteil BVGE 2008/5 vom 14. März 2008 ausführlich mit der Frage der Zumutbarkeit des Wegweisungsvollzugs in den kurdisch verwalteten Nordirak befasst. Es gelangte zum Schluss, dass in den drei kurdischen Provinzen Dohuk, Erbil und Sulaymaniya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Demgegenüber ist für alleinstehende Frauen und für Familien mit Kindern, sowie für Kranke und Betagte bei der Feststellung der Zumutbarkeit des Wegweisungsvollzugs grosse Zurückhaltung angebracht (vgl. a.a.O. E. 7.5 und insbesondere 7.5.8).</w:t>
      </w:r>
    </w:p>
    <w:p>
      <w:r>
        <w:rPr>
          <w:b/>
        </w:rPr>
        <w:t>E. 7.4.2</w:t>
      </w:r>
    </w:p>
    <w:p>
      <w:r>
        <w:t>Der Beschwerdeführer, von dem keine gesundheitlichen Probleme aktenkundig sind, lebte seit seiner Geburt in C._______, Provinz D._______ im Nordirak (vgl. A1, S. 1), verfügt über eine Gymnasialausbildung (vgl. A10, S. 4) und ist Berufsfussballer (vgl. A1, S. 2 und A10, S. 5). Angesichts des jungen Alters des Beschwerdeführers ist davon auszugehen, dass eine Reintegration in den Arbeits- und allenfalls Sportsmarkt möglich sein wird. Er verfügt in seiner Heimat über ein familiäres und soziales Beziehungsnetz (vgl. A10, S. 4 und A15, S. 3) und stammt aus gut situierten Verhältnissen (vgl. A10, S. 6 und 9). Bei der Wiedereingliederung werden ihm seine in der Heimat verbliebenen Verwandten behilflich sein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Der Beschwerdeführer hat mit dem Einreichen eines gefälschten Beweismittels den Tatbestand der mutwilligen Prozessführung im Sinne von Art. 60 Abs. 2 VwVG erfüllt. Bei mutwilliger Prozessführung ist unter anderem die Gewährung der unentgeltlichen Prozessführung ausgeschlossen (vgl. PHILIPPE WEISSENBERGER, in: BERNHARD WALDMANN/PHILIPPE WEISSENBERGER, VwVG, Praxiskommentar zum Bundesgesetz über das Verwaltungsverfahren, Zürich u.a. 2009, Art. 60 N 55). Das entsprechende Gesuch gemäss Art. 65 Abs. 1 VwVG ist deshalb abzuweisen. Darüber hinaus kann bei mutwilliger Prozessführung die Gerichtsgebühr erhöht werden (Art. 2 Abs. 2 des Reglements vom 21. Februar 2008 über die Kosten und Entschädigungen vor dem Bundesverwaltungsgericht [VGKE, SR 173.320.2]). In casu wird die Gerichtsgebühr um Fr. 600.-- erhöht. Bei diesem Ausgang des Verfahrens sind die Kosten dem Beschwerdeführer aufzuerlegen (Art. 63 Abs. 1 VwVG) und auf insgesamt Fr. 1'200.-- festzusetzen (Art. 16 Abs. 1 Bst. a VGG i.V.m. Art. 1-3 VGKE). Überdies ist das Rechtsbegehren, es sei auf die Erhebung eines Kostenvorschusses zu verzichten, aufgrund des direkten Entscheides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